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67E81" w14:textId="6F979C3D" w:rsidR="00CC1902" w:rsidRPr="001F0D4B" w:rsidRDefault="001F0D4B" w:rsidP="00E421E6">
      <w:pPr>
        <w:pStyle w:val="PNadpis3"/>
        <w:numPr>
          <w:ilvl w:val="0"/>
          <w:numId w:val="0"/>
        </w:numPr>
        <w:rPr>
          <w:rFonts w:asciiTheme="minorHAnsi" w:hAnsiTheme="minorHAnsi" w:cstheme="minorHAnsi"/>
          <w:color w:val="auto"/>
          <w:sz w:val="24"/>
          <w:szCs w:val="24"/>
        </w:rPr>
      </w:pPr>
      <w:r w:rsidRPr="001F0D4B">
        <w:rPr>
          <w:rFonts w:asciiTheme="minorHAnsi" w:hAnsiTheme="minorHAnsi" w:cstheme="minorHAnsi"/>
          <w:color w:val="auto"/>
          <w:sz w:val="24"/>
          <w:szCs w:val="24"/>
        </w:rPr>
        <w:t>ŠKODOVÉ POJIŠTĚNÍ ODPOVĚDNOSTI ZA ÚJMU</w:t>
      </w:r>
    </w:p>
    <w:p w14:paraId="2C81DB1A" w14:textId="77777777" w:rsidR="001F0D4B" w:rsidRDefault="001F0D4B" w:rsidP="00EB14BB">
      <w:pPr>
        <w:rPr>
          <w:rFonts w:asciiTheme="minorHAnsi" w:hAnsiTheme="minorHAnsi" w:cstheme="minorHAnsi"/>
          <w:b/>
          <w:bCs/>
          <w:sz w:val="22"/>
          <w:szCs w:val="22"/>
          <w:u w:val="single"/>
        </w:rPr>
      </w:pPr>
    </w:p>
    <w:p w14:paraId="6E5D57C2" w14:textId="42BB74EF" w:rsidR="00EB14BB" w:rsidRPr="001F0D4B" w:rsidRDefault="00EB14BB" w:rsidP="00EB14BB">
      <w:pPr>
        <w:rPr>
          <w:rFonts w:asciiTheme="minorHAnsi" w:hAnsiTheme="minorHAnsi" w:cstheme="minorHAnsi"/>
          <w:b/>
          <w:bCs/>
          <w:sz w:val="22"/>
          <w:szCs w:val="22"/>
          <w:u w:val="single"/>
        </w:rPr>
      </w:pPr>
      <w:r w:rsidRPr="001F0D4B">
        <w:rPr>
          <w:rFonts w:asciiTheme="minorHAnsi" w:hAnsiTheme="minorHAnsi" w:cstheme="minorHAnsi"/>
          <w:b/>
          <w:bCs/>
          <w:sz w:val="22"/>
          <w:szCs w:val="22"/>
          <w:u w:val="single"/>
        </w:rPr>
        <w:t>Pojištěná činnost</w:t>
      </w:r>
    </w:p>
    <w:p w14:paraId="0DFCA4D7" w14:textId="77777777" w:rsidR="00EB14BB" w:rsidRPr="001F0D4B" w:rsidRDefault="00EB14BB" w:rsidP="00EB14BB">
      <w:pPr>
        <w:rPr>
          <w:rFonts w:asciiTheme="minorHAnsi" w:hAnsiTheme="minorHAnsi" w:cstheme="minorHAnsi"/>
          <w:sz w:val="22"/>
          <w:szCs w:val="22"/>
        </w:rPr>
      </w:pPr>
      <w:r w:rsidRPr="001F0D4B">
        <w:rPr>
          <w:rFonts w:asciiTheme="minorHAnsi" w:hAnsiTheme="minorHAnsi" w:cstheme="minorHAnsi"/>
          <w:sz w:val="22"/>
          <w:szCs w:val="22"/>
        </w:rPr>
        <w:t>Obecná provozní odpovědnost za škodu způsobenou jiné osobě v souvislosti s činností nebo vztahem pojištěného vyplývající ze zákona o obecním zřízení v platném znění (zejména z existence a držby obecního majetku a z výkonu práv a povinností pojištěného v rámci jeho samostatné a přenesené působnosti) a souvisejících právních předpisů:</w:t>
      </w:r>
    </w:p>
    <w:p w14:paraId="304C8D38" w14:textId="05A37709" w:rsidR="00EB14BB" w:rsidRPr="001F0D4B" w:rsidRDefault="00EB14BB" w:rsidP="00EB14BB">
      <w:pPr>
        <w:pStyle w:val="Odstavecseseznamem"/>
        <w:numPr>
          <w:ilvl w:val="0"/>
          <w:numId w:val="14"/>
        </w:numPr>
        <w:rPr>
          <w:rFonts w:asciiTheme="minorHAnsi" w:hAnsiTheme="minorHAnsi" w:cstheme="minorHAnsi"/>
          <w:sz w:val="22"/>
          <w:szCs w:val="22"/>
        </w:rPr>
      </w:pPr>
      <w:r w:rsidRPr="001F0D4B">
        <w:rPr>
          <w:rFonts w:asciiTheme="minorHAnsi" w:hAnsiTheme="minorHAnsi" w:cstheme="minorHAnsi"/>
          <w:sz w:val="22"/>
          <w:szCs w:val="22"/>
        </w:rPr>
        <w:t>Zákon č.128/2000 Sb. o obcích, ve znění pozdějších předpisů</w:t>
      </w:r>
    </w:p>
    <w:p w14:paraId="03D27144" w14:textId="7E1E069C" w:rsidR="00EB14BB" w:rsidRPr="001F0D4B" w:rsidRDefault="00EB14BB" w:rsidP="00EB14BB">
      <w:pPr>
        <w:pStyle w:val="Odstavecseseznamem"/>
        <w:numPr>
          <w:ilvl w:val="0"/>
          <w:numId w:val="14"/>
        </w:numPr>
        <w:rPr>
          <w:rFonts w:asciiTheme="minorHAnsi" w:hAnsiTheme="minorHAnsi" w:cstheme="minorHAnsi"/>
          <w:sz w:val="22"/>
          <w:szCs w:val="22"/>
        </w:rPr>
      </w:pPr>
      <w:r w:rsidRPr="001F0D4B">
        <w:rPr>
          <w:rFonts w:asciiTheme="minorHAnsi" w:hAnsiTheme="minorHAnsi" w:cstheme="minorHAnsi"/>
          <w:sz w:val="22"/>
          <w:szCs w:val="22"/>
        </w:rPr>
        <w:t>Zákon č.553/1991 Sb. o obecní policii, ve znění pozdějších předpisů</w:t>
      </w:r>
    </w:p>
    <w:p w14:paraId="3B5001F7" w14:textId="52BD6C1F" w:rsidR="00EB14BB" w:rsidRPr="001F0D4B" w:rsidRDefault="00EB14BB" w:rsidP="00EB14BB">
      <w:pPr>
        <w:pStyle w:val="Odstavecseseznamem"/>
        <w:numPr>
          <w:ilvl w:val="0"/>
          <w:numId w:val="14"/>
        </w:numPr>
        <w:rPr>
          <w:rFonts w:asciiTheme="minorHAnsi" w:hAnsiTheme="minorHAnsi" w:cstheme="minorHAnsi"/>
          <w:sz w:val="22"/>
          <w:szCs w:val="22"/>
        </w:rPr>
      </w:pPr>
      <w:r w:rsidRPr="001F0D4B">
        <w:rPr>
          <w:rFonts w:asciiTheme="minorHAnsi" w:hAnsiTheme="minorHAnsi" w:cstheme="minorHAnsi"/>
          <w:sz w:val="22"/>
          <w:szCs w:val="22"/>
        </w:rPr>
        <w:t>Zákon č.108/2006 Sb. o sociálních službách, ve znění pozdějších předpisů</w:t>
      </w:r>
    </w:p>
    <w:p w14:paraId="0768266B" w14:textId="749D2604" w:rsidR="00EB14BB" w:rsidRPr="001F0D4B" w:rsidRDefault="00EB14BB" w:rsidP="00EB14BB">
      <w:pPr>
        <w:pStyle w:val="Odstavecseseznamem"/>
        <w:numPr>
          <w:ilvl w:val="0"/>
          <w:numId w:val="14"/>
        </w:numPr>
        <w:rPr>
          <w:rFonts w:asciiTheme="minorHAnsi" w:hAnsiTheme="minorHAnsi" w:cstheme="minorHAnsi"/>
          <w:sz w:val="22"/>
          <w:szCs w:val="22"/>
        </w:rPr>
      </w:pPr>
      <w:r w:rsidRPr="001F0D4B">
        <w:rPr>
          <w:rFonts w:asciiTheme="minorHAnsi" w:hAnsiTheme="minorHAnsi" w:cstheme="minorHAnsi"/>
          <w:sz w:val="22"/>
          <w:szCs w:val="22"/>
        </w:rPr>
        <w:t>a další související právní předpisy či zákony</w:t>
      </w:r>
    </w:p>
    <w:p w14:paraId="41968780" w14:textId="0E996697" w:rsidR="00EB14BB" w:rsidRPr="001F0D4B" w:rsidRDefault="00EB14BB" w:rsidP="00EB14BB">
      <w:pPr>
        <w:pStyle w:val="Odstavecseseznamem"/>
        <w:numPr>
          <w:ilvl w:val="0"/>
          <w:numId w:val="14"/>
        </w:numPr>
        <w:rPr>
          <w:rFonts w:asciiTheme="minorHAnsi" w:hAnsiTheme="minorHAnsi" w:cstheme="minorHAnsi"/>
          <w:sz w:val="22"/>
          <w:szCs w:val="22"/>
        </w:rPr>
      </w:pPr>
      <w:r w:rsidRPr="001F0D4B">
        <w:rPr>
          <w:rFonts w:asciiTheme="minorHAnsi" w:hAnsiTheme="minorHAnsi" w:cstheme="minorHAnsi"/>
          <w:sz w:val="22"/>
          <w:szCs w:val="22"/>
        </w:rPr>
        <w:t>Činnosti spolupojištěných právních subjektů dle zřizovacích listin a výpisu z Obchodního rejstříku, Klubu důchodců a Sboru dobrovolných hasičů</w:t>
      </w:r>
    </w:p>
    <w:p w14:paraId="08772FE0" w14:textId="62448A2C" w:rsidR="0040179B" w:rsidRPr="001F0D4B" w:rsidRDefault="00EB14BB" w:rsidP="0040179B">
      <w:pPr>
        <w:pStyle w:val="PNadpis3"/>
        <w:numPr>
          <w:ilvl w:val="0"/>
          <w:numId w:val="0"/>
        </w:numPr>
        <w:ind w:left="680" w:hanging="680"/>
        <w:rPr>
          <w:rFonts w:asciiTheme="minorHAnsi" w:hAnsiTheme="minorHAnsi" w:cstheme="minorHAnsi"/>
          <w:color w:val="auto"/>
          <w:sz w:val="22"/>
          <w:szCs w:val="22"/>
          <w:u w:val="single"/>
        </w:rPr>
      </w:pPr>
      <w:r w:rsidRPr="001F0D4B">
        <w:rPr>
          <w:rFonts w:asciiTheme="minorHAnsi" w:hAnsiTheme="minorHAnsi" w:cstheme="minorHAnsi"/>
          <w:color w:val="auto"/>
          <w:sz w:val="22"/>
          <w:szCs w:val="22"/>
          <w:u w:val="single"/>
        </w:rPr>
        <w:t>Rozsah pojistného krytí, limity</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7"/>
        <w:gridCol w:w="2350"/>
      </w:tblGrid>
      <w:tr w:rsidR="00753AC7" w:rsidRPr="001F0D4B" w14:paraId="083A2A12" w14:textId="77777777" w:rsidTr="00BA421E">
        <w:trPr>
          <w:trHeight w:val="255"/>
          <w:tblHeader/>
        </w:trPr>
        <w:tc>
          <w:tcPr>
            <w:tcW w:w="3688" w:type="pct"/>
            <w:shd w:val="clear" w:color="auto" w:fill="auto"/>
          </w:tcPr>
          <w:p w14:paraId="3028BAB4" w14:textId="677B5413" w:rsidR="00753AC7" w:rsidRPr="001F0D4B" w:rsidRDefault="00EB14BB" w:rsidP="00E228C9">
            <w:pPr>
              <w:pStyle w:val="TabulkaNL"/>
              <w:rPr>
                <w:rFonts w:asciiTheme="minorHAnsi" w:hAnsiTheme="minorHAnsi" w:cstheme="minorHAnsi"/>
                <w:color w:val="auto"/>
                <w:sz w:val="22"/>
                <w:szCs w:val="22"/>
              </w:rPr>
            </w:pPr>
            <w:r w:rsidRPr="001F0D4B">
              <w:rPr>
                <w:rFonts w:asciiTheme="minorHAnsi" w:hAnsiTheme="minorHAnsi" w:cstheme="minorHAnsi"/>
                <w:color w:val="auto"/>
                <w:sz w:val="22"/>
                <w:szCs w:val="22"/>
              </w:rPr>
              <w:t>Rozsah pojistného krytí</w:t>
            </w:r>
            <w:r w:rsidR="0040179B" w:rsidRPr="001F0D4B">
              <w:rPr>
                <w:rFonts w:asciiTheme="minorHAnsi" w:hAnsiTheme="minorHAnsi" w:cstheme="minorHAnsi"/>
                <w:color w:val="auto"/>
                <w:sz w:val="22"/>
                <w:szCs w:val="22"/>
              </w:rPr>
              <w:t xml:space="preserve"> </w:t>
            </w:r>
          </w:p>
        </w:tc>
        <w:tc>
          <w:tcPr>
            <w:tcW w:w="1312" w:type="pct"/>
            <w:shd w:val="clear" w:color="auto" w:fill="auto"/>
          </w:tcPr>
          <w:p w14:paraId="258F580B" w14:textId="1EA07250" w:rsidR="00753AC7" w:rsidRPr="001F0D4B" w:rsidRDefault="00EB14BB" w:rsidP="00E228C9">
            <w:pPr>
              <w:pStyle w:val="TabulkaNR"/>
              <w:rPr>
                <w:rFonts w:asciiTheme="minorHAnsi" w:hAnsiTheme="minorHAnsi" w:cstheme="minorHAnsi"/>
                <w:color w:val="auto"/>
                <w:sz w:val="22"/>
                <w:szCs w:val="22"/>
              </w:rPr>
            </w:pPr>
            <w:r w:rsidRPr="001F0D4B">
              <w:rPr>
                <w:rFonts w:asciiTheme="minorHAnsi" w:hAnsiTheme="minorHAnsi" w:cstheme="minorHAnsi"/>
                <w:color w:val="auto"/>
                <w:sz w:val="22"/>
                <w:szCs w:val="22"/>
              </w:rPr>
              <w:t>Limit pojistného plnění</w:t>
            </w:r>
          </w:p>
        </w:tc>
      </w:tr>
      <w:tr w:rsidR="00EB14BB" w:rsidRPr="001F0D4B" w14:paraId="40BD1FAE" w14:textId="77777777" w:rsidTr="00BA421E">
        <w:trPr>
          <w:trHeight w:val="272"/>
        </w:trPr>
        <w:tc>
          <w:tcPr>
            <w:tcW w:w="3688" w:type="pct"/>
          </w:tcPr>
          <w:p w14:paraId="74400117" w14:textId="509260D7" w:rsidR="00EB14BB" w:rsidRPr="001F0D4B" w:rsidRDefault="00EB14BB" w:rsidP="00EB14BB">
            <w:pPr>
              <w:pStyle w:val="Bezmezer"/>
              <w:rPr>
                <w:rFonts w:asciiTheme="minorHAnsi" w:hAnsiTheme="minorHAnsi" w:cstheme="minorHAnsi"/>
                <w:sz w:val="22"/>
                <w:szCs w:val="22"/>
                <w:highlight w:val="yellow"/>
              </w:rPr>
            </w:pPr>
            <w:r w:rsidRPr="001F0D4B">
              <w:rPr>
                <w:rFonts w:asciiTheme="minorHAnsi" w:hAnsiTheme="minorHAnsi" w:cstheme="minorHAnsi"/>
                <w:sz w:val="22"/>
                <w:szCs w:val="22"/>
                <w:highlight w:val="yellow"/>
              </w:rPr>
              <w:t>Újma vzniklá jiné osobě při ublížení na zdraví nebo usmrcení.</w:t>
            </w:r>
          </w:p>
        </w:tc>
        <w:tc>
          <w:tcPr>
            <w:tcW w:w="1312" w:type="pct"/>
            <w:vMerge w:val="restart"/>
            <w:shd w:val="clear" w:color="auto" w:fill="auto"/>
            <w:vAlign w:val="center"/>
          </w:tcPr>
          <w:p w14:paraId="5676BFD2" w14:textId="2A6FB837"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30 000 000,-</w:t>
            </w:r>
          </w:p>
        </w:tc>
      </w:tr>
      <w:tr w:rsidR="00EB14BB" w:rsidRPr="001F0D4B" w14:paraId="48F665DF" w14:textId="77777777" w:rsidTr="005F1B1D">
        <w:trPr>
          <w:trHeight w:val="272"/>
        </w:trPr>
        <w:tc>
          <w:tcPr>
            <w:tcW w:w="3688" w:type="pct"/>
          </w:tcPr>
          <w:p w14:paraId="567620BC" w14:textId="1A9A0594"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highlight w:val="yellow"/>
              </w:rPr>
              <w:t>Škoda vzniklá jiné osobě poškozením, zničením, ztrátou nebo odcizením hmotné věci (včetně zvířete), kterou má tato osoba ve vlastnictví, v užívání, nebo ji má oprávněně u sebe z jakéhokoliv jiného právního titulu.</w:t>
            </w:r>
          </w:p>
        </w:tc>
        <w:tc>
          <w:tcPr>
            <w:tcW w:w="1312" w:type="pct"/>
            <w:vMerge/>
            <w:shd w:val="clear" w:color="auto" w:fill="auto"/>
            <w:vAlign w:val="center"/>
          </w:tcPr>
          <w:p w14:paraId="0CD2BF77" w14:textId="6607248D" w:rsidR="00EB14BB" w:rsidRPr="001F0D4B" w:rsidRDefault="00EB14BB" w:rsidP="00EB14BB">
            <w:pPr>
              <w:pStyle w:val="Bezmezer"/>
              <w:jc w:val="right"/>
              <w:rPr>
                <w:rFonts w:asciiTheme="minorHAnsi" w:hAnsiTheme="minorHAnsi" w:cstheme="minorHAnsi"/>
                <w:sz w:val="22"/>
                <w:szCs w:val="22"/>
              </w:rPr>
            </w:pPr>
          </w:p>
        </w:tc>
      </w:tr>
      <w:tr w:rsidR="00EB14BB" w:rsidRPr="001F0D4B" w14:paraId="47B88F33" w14:textId="77777777" w:rsidTr="00EB14BB">
        <w:trPr>
          <w:trHeight w:val="157"/>
        </w:trPr>
        <w:tc>
          <w:tcPr>
            <w:tcW w:w="3688" w:type="pct"/>
          </w:tcPr>
          <w:p w14:paraId="7E502C44" w14:textId="77BF2520" w:rsidR="00EB14BB" w:rsidRPr="001F0D4B" w:rsidRDefault="00EB14BB" w:rsidP="00EB14BB">
            <w:pPr>
              <w:pStyle w:val="Bezmezer"/>
              <w:rPr>
                <w:rFonts w:asciiTheme="minorHAnsi" w:hAnsiTheme="minorHAnsi" w:cstheme="minorHAnsi"/>
                <w:sz w:val="22"/>
                <w:szCs w:val="22"/>
              </w:rPr>
            </w:pPr>
            <w:bookmarkStart w:id="0" w:name="_Hlk273343851"/>
            <w:r w:rsidRPr="001F0D4B">
              <w:rPr>
                <w:rFonts w:asciiTheme="minorHAnsi" w:hAnsiTheme="minorHAnsi" w:cstheme="minorHAnsi"/>
                <w:sz w:val="22"/>
                <w:szCs w:val="22"/>
              </w:rPr>
              <w:t xml:space="preserve">Následná finanční </w:t>
            </w:r>
            <w:proofErr w:type="gramStart"/>
            <w:r w:rsidRPr="001F0D4B">
              <w:rPr>
                <w:rFonts w:asciiTheme="minorHAnsi" w:hAnsiTheme="minorHAnsi" w:cstheme="minorHAnsi"/>
                <w:sz w:val="22"/>
                <w:szCs w:val="22"/>
              </w:rPr>
              <w:t xml:space="preserve">škoda </w:t>
            </w:r>
            <w:r w:rsidR="00196999" w:rsidRPr="001F0D4B">
              <w:rPr>
                <w:rFonts w:asciiTheme="minorHAnsi" w:hAnsiTheme="minorHAnsi" w:cstheme="minorHAnsi"/>
                <w:sz w:val="22"/>
                <w:szCs w:val="22"/>
              </w:rPr>
              <w:t>.</w:t>
            </w:r>
            <w:proofErr w:type="gramEnd"/>
          </w:p>
        </w:tc>
        <w:tc>
          <w:tcPr>
            <w:tcW w:w="1312" w:type="pct"/>
            <w:vMerge/>
            <w:shd w:val="clear" w:color="auto" w:fill="auto"/>
            <w:vAlign w:val="center"/>
          </w:tcPr>
          <w:p w14:paraId="64BF1CA5" w14:textId="40BE74A1" w:rsidR="00EB14BB" w:rsidRPr="001F0D4B" w:rsidRDefault="00EB14BB" w:rsidP="00EB14BB">
            <w:pPr>
              <w:pStyle w:val="Bezmezer"/>
              <w:jc w:val="right"/>
              <w:rPr>
                <w:rFonts w:asciiTheme="minorHAnsi" w:hAnsiTheme="minorHAnsi" w:cstheme="minorHAnsi"/>
                <w:sz w:val="22"/>
                <w:szCs w:val="22"/>
              </w:rPr>
            </w:pPr>
          </w:p>
        </w:tc>
      </w:tr>
      <w:tr w:rsidR="00EB14BB" w:rsidRPr="001F0D4B" w14:paraId="1B8030F9" w14:textId="77777777" w:rsidTr="00BA421E">
        <w:trPr>
          <w:trHeight w:val="272"/>
        </w:trPr>
        <w:tc>
          <w:tcPr>
            <w:tcW w:w="3688" w:type="pct"/>
          </w:tcPr>
          <w:p w14:paraId="3C32520C" w14:textId="79F18D3B"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 xml:space="preserve">Povinnost pojištěného nahradit škodu či újmu vzniklou v souvislosti s vlastnictvím nebo nájmem nemovité hmotné věci a způsobenou v souvislosti s pronájmem nemovité hmotné věci v rozsahu, který nevyžaduje živnostenská oprávnění. </w:t>
            </w:r>
          </w:p>
        </w:tc>
        <w:tc>
          <w:tcPr>
            <w:tcW w:w="1312" w:type="pct"/>
            <w:vMerge/>
            <w:shd w:val="clear" w:color="auto" w:fill="auto"/>
            <w:vAlign w:val="center"/>
          </w:tcPr>
          <w:p w14:paraId="71827A63" w14:textId="70DCF92D" w:rsidR="00EB14BB" w:rsidRPr="001F0D4B" w:rsidRDefault="00EB14BB" w:rsidP="00EB14BB">
            <w:pPr>
              <w:pStyle w:val="Bezmezer"/>
              <w:jc w:val="right"/>
              <w:rPr>
                <w:rFonts w:asciiTheme="minorHAnsi" w:hAnsiTheme="minorHAnsi" w:cstheme="minorHAnsi"/>
                <w:sz w:val="22"/>
                <w:szCs w:val="22"/>
              </w:rPr>
            </w:pPr>
          </w:p>
        </w:tc>
      </w:tr>
      <w:tr w:rsidR="00EB14BB" w:rsidRPr="001F0D4B" w14:paraId="583F3D80" w14:textId="77777777" w:rsidTr="00BA421E">
        <w:trPr>
          <w:trHeight w:val="272"/>
        </w:trPr>
        <w:tc>
          <w:tcPr>
            <w:tcW w:w="3688" w:type="pct"/>
          </w:tcPr>
          <w:p w14:paraId="75FFD12E" w14:textId="588169A8"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nemajetkové újmy při ublížení na zdraví nebo usmrcení vč. duševních útrap blízkých</w:t>
            </w:r>
            <w:r w:rsidR="00196999" w:rsidRPr="001F0D4B">
              <w:rPr>
                <w:rFonts w:asciiTheme="minorHAnsi" w:hAnsiTheme="minorHAnsi" w:cstheme="minorHAnsi"/>
                <w:sz w:val="22"/>
                <w:szCs w:val="22"/>
              </w:rPr>
              <w:t>.</w:t>
            </w:r>
          </w:p>
        </w:tc>
        <w:tc>
          <w:tcPr>
            <w:tcW w:w="1312" w:type="pct"/>
            <w:vMerge/>
            <w:shd w:val="clear" w:color="auto" w:fill="auto"/>
            <w:vAlign w:val="center"/>
          </w:tcPr>
          <w:p w14:paraId="7208C9F8" w14:textId="6885D201" w:rsidR="00EB14BB" w:rsidRPr="001F0D4B" w:rsidRDefault="00EB14BB" w:rsidP="00EB14BB">
            <w:pPr>
              <w:pStyle w:val="Bezmezer"/>
              <w:jc w:val="right"/>
              <w:rPr>
                <w:rFonts w:asciiTheme="minorHAnsi" w:hAnsiTheme="minorHAnsi" w:cstheme="minorHAnsi"/>
                <w:sz w:val="22"/>
                <w:szCs w:val="22"/>
              </w:rPr>
            </w:pPr>
          </w:p>
        </w:tc>
      </w:tr>
      <w:bookmarkEnd w:id="0"/>
      <w:tr w:rsidR="00EB14BB" w:rsidRPr="001F0D4B" w14:paraId="74F43543" w14:textId="77777777" w:rsidTr="00BA421E">
        <w:trPr>
          <w:trHeight w:val="272"/>
        </w:trPr>
        <w:tc>
          <w:tcPr>
            <w:tcW w:w="3688" w:type="pct"/>
          </w:tcPr>
          <w:p w14:paraId="35F3FD47" w14:textId="78379E17"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škodu či újmu vzniklou starostovi, místostarostovi, členu rady nebo zastupitelstva při výkonu své funkce, která se bude posuzovat analogicky podle odpovědnosti zaměstnavatele za škodu či újmu způsobenou zaměstnanci.</w:t>
            </w:r>
          </w:p>
        </w:tc>
        <w:tc>
          <w:tcPr>
            <w:tcW w:w="1312" w:type="pct"/>
            <w:vMerge/>
            <w:shd w:val="clear" w:color="auto" w:fill="auto"/>
            <w:vAlign w:val="center"/>
          </w:tcPr>
          <w:p w14:paraId="6C485373" w14:textId="6C03D453" w:rsidR="00EB14BB" w:rsidRPr="001F0D4B" w:rsidRDefault="00EB14BB" w:rsidP="00EB14BB">
            <w:pPr>
              <w:pStyle w:val="Bezmezer"/>
              <w:jc w:val="right"/>
              <w:rPr>
                <w:rFonts w:asciiTheme="minorHAnsi" w:hAnsiTheme="minorHAnsi" w:cstheme="minorHAnsi"/>
                <w:sz w:val="22"/>
                <w:szCs w:val="22"/>
              </w:rPr>
            </w:pPr>
          </w:p>
        </w:tc>
      </w:tr>
      <w:tr w:rsidR="00EB14BB" w:rsidRPr="001F0D4B" w14:paraId="06464294" w14:textId="77777777" w:rsidTr="00BA421E">
        <w:trPr>
          <w:trHeight w:val="272"/>
        </w:trPr>
        <w:tc>
          <w:tcPr>
            <w:tcW w:w="3688" w:type="pct"/>
          </w:tcPr>
          <w:p w14:paraId="03C1B487" w14:textId="4CA5CD10" w:rsidR="00EB14BB" w:rsidRPr="001F0D4B" w:rsidRDefault="0039327D" w:rsidP="00EB14BB">
            <w:pPr>
              <w:pStyle w:val="Bezmezer"/>
              <w:rPr>
                <w:rFonts w:asciiTheme="minorHAnsi" w:hAnsiTheme="minorHAnsi" w:cstheme="minorHAnsi"/>
                <w:sz w:val="22"/>
                <w:szCs w:val="22"/>
              </w:rPr>
            </w:pPr>
            <w:r w:rsidRPr="001F0D4B">
              <w:rPr>
                <w:rFonts w:asciiTheme="minorHAnsi" w:hAnsiTheme="minorHAnsi" w:cstheme="minorHAnsi"/>
                <w:sz w:val="22"/>
                <w:szCs w:val="22"/>
              </w:rPr>
              <w:t>Náhrada nákladů na hrazené služby třetích osob vynaložených zdravotní pojišťovnou a regresní náhrada dávek nemocenského pojištění</w:t>
            </w:r>
            <w:r w:rsidR="00196999" w:rsidRPr="001F0D4B">
              <w:rPr>
                <w:rFonts w:asciiTheme="minorHAnsi" w:hAnsiTheme="minorHAnsi" w:cstheme="minorHAnsi"/>
                <w:sz w:val="22"/>
                <w:szCs w:val="22"/>
              </w:rPr>
              <w:t>.</w:t>
            </w:r>
          </w:p>
        </w:tc>
        <w:tc>
          <w:tcPr>
            <w:tcW w:w="1312" w:type="pct"/>
            <w:vMerge/>
            <w:shd w:val="clear" w:color="auto" w:fill="auto"/>
            <w:vAlign w:val="center"/>
          </w:tcPr>
          <w:p w14:paraId="393741A9" w14:textId="07C5A116" w:rsidR="00EB14BB" w:rsidRPr="001F0D4B" w:rsidRDefault="00EB14BB" w:rsidP="00EB14BB">
            <w:pPr>
              <w:pStyle w:val="Bezmezer"/>
              <w:jc w:val="right"/>
              <w:rPr>
                <w:rFonts w:asciiTheme="minorHAnsi" w:hAnsiTheme="minorHAnsi" w:cstheme="minorHAnsi"/>
                <w:sz w:val="22"/>
                <w:szCs w:val="22"/>
              </w:rPr>
            </w:pPr>
          </w:p>
        </w:tc>
      </w:tr>
      <w:tr w:rsidR="00EB14BB" w:rsidRPr="001F0D4B" w14:paraId="46B43489" w14:textId="77777777" w:rsidTr="00EB14BB">
        <w:trPr>
          <w:trHeight w:val="272"/>
        </w:trPr>
        <w:tc>
          <w:tcPr>
            <w:tcW w:w="3688" w:type="pct"/>
          </w:tcPr>
          <w:p w14:paraId="2FB23830" w14:textId="52BCFE3B"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Nemajetková újma způsobená zásahem do práv na ochranu osobnosti, která vznikla jinak, než při ublížení na zdraví nebo usmrcení.</w:t>
            </w:r>
          </w:p>
        </w:tc>
        <w:tc>
          <w:tcPr>
            <w:tcW w:w="1312" w:type="pct"/>
            <w:shd w:val="clear" w:color="auto" w:fill="auto"/>
            <w:vAlign w:val="center"/>
          </w:tcPr>
          <w:p w14:paraId="6322447B" w14:textId="5BAD69FA"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1 000 000,-</w:t>
            </w:r>
          </w:p>
        </w:tc>
      </w:tr>
      <w:tr w:rsidR="00EB14BB" w:rsidRPr="001F0D4B" w14:paraId="1C89D12C" w14:textId="77777777" w:rsidTr="00EB14BB">
        <w:trPr>
          <w:trHeight w:val="272"/>
        </w:trPr>
        <w:tc>
          <w:tcPr>
            <w:tcW w:w="3688" w:type="pct"/>
          </w:tcPr>
          <w:p w14:paraId="422CBEA2" w14:textId="346CCA9E"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škodu či újmu se vztahuje i na škody či újmy způsobené v souvislosti s pořádáním kulturních, společenských, vzdělávacích a sportovních akcí</w:t>
            </w:r>
            <w:r w:rsidR="00196999" w:rsidRPr="001F0D4B">
              <w:rPr>
                <w:rFonts w:asciiTheme="minorHAnsi" w:hAnsiTheme="minorHAnsi" w:cstheme="minorHAnsi"/>
                <w:sz w:val="22"/>
                <w:szCs w:val="22"/>
              </w:rPr>
              <w:t>.</w:t>
            </w:r>
            <w:r w:rsidRPr="001F0D4B">
              <w:rPr>
                <w:rFonts w:asciiTheme="minorHAnsi" w:hAnsiTheme="minorHAnsi" w:cstheme="minorHAnsi"/>
                <w:sz w:val="22"/>
                <w:szCs w:val="22"/>
              </w:rPr>
              <w:t xml:space="preserve"> </w:t>
            </w:r>
          </w:p>
        </w:tc>
        <w:tc>
          <w:tcPr>
            <w:tcW w:w="1312" w:type="pct"/>
            <w:shd w:val="clear" w:color="auto" w:fill="auto"/>
            <w:vAlign w:val="center"/>
          </w:tcPr>
          <w:p w14:paraId="499A196E" w14:textId="3364FD10" w:rsidR="00EB14BB" w:rsidRPr="001F0D4B" w:rsidRDefault="009E53F3" w:rsidP="00EB14BB">
            <w:pPr>
              <w:pStyle w:val="Bezmezer"/>
              <w:jc w:val="right"/>
              <w:rPr>
                <w:rFonts w:asciiTheme="minorHAnsi" w:hAnsiTheme="minorHAnsi" w:cstheme="minorHAnsi"/>
                <w:sz w:val="22"/>
                <w:szCs w:val="22"/>
                <w:highlight w:val="green"/>
              </w:rPr>
            </w:pPr>
            <w:r w:rsidRPr="001F0D4B">
              <w:rPr>
                <w:rFonts w:asciiTheme="minorHAnsi" w:hAnsiTheme="minorHAnsi" w:cstheme="minorHAnsi"/>
                <w:sz w:val="22"/>
                <w:szCs w:val="22"/>
              </w:rPr>
              <w:t>2</w:t>
            </w:r>
            <w:r w:rsidR="00EB14BB" w:rsidRPr="001F0D4B">
              <w:rPr>
                <w:rFonts w:asciiTheme="minorHAnsi" w:hAnsiTheme="minorHAnsi" w:cstheme="minorHAnsi"/>
                <w:sz w:val="22"/>
                <w:szCs w:val="22"/>
              </w:rPr>
              <w:t>0 000 000,-</w:t>
            </w:r>
          </w:p>
        </w:tc>
      </w:tr>
      <w:tr w:rsidR="00EB14BB" w:rsidRPr="001F0D4B" w14:paraId="64A1374F" w14:textId="77777777" w:rsidTr="00EB14BB">
        <w:trPr>
          <w:trHeight w:val="272"/>
        </w:trPr>
        <w:tc>
          <w:tcPr>
            <w:tcW w:w="3688" w:type="pct"/>
          </w:tcPr>
          <w:p w14:paraId="6415976E" w14:textId="19149B05"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pro případ odpovědnosti za škodu či újmu vzniklou v souvislosti s výkonem veřejné</w:t>
            </w:r>
            <w:r w:rsidR="00196999" w:rsidRPr="001F0D4B">
              <w:rPr>
                <w:rFonts w:asciiTheme="minorHAnsi" w:hAnsiTheme="minorHAnsi" w:cstheme="minorHAnsi"/>
                <w:sz w:val="22"/>
                <w:szCs w:val="22"/>
              </w:rPr>
              <w:t xml:space="preserve"> služby.</w:t>
            </w:r>
          </w:p>
        </w:tc>
        <w:tc>
          <w:tcPr>
            <w:tcW w:w="1312" w:type="pct"/>
            <w:shd w:val="clear" w:color="auto" w:fill="auto"/>
            <w:vAlign w:val="center"/>
          </w:tcPr>
          <w:p w14:paraId="2B5F3C7E" w14:textId="69DD0443"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1 000 000,-</w:t>
            </w:r>
          </w:p>
        </w:tc>
      </w:tr>
      <w:tr w:rsidR="00EB14BB" w:rsidRPr="001F0D4B" w14:paraId="2EC62FBF" w14:textId="77777777" w:rsidTr="00EB14BB">
        <w:trPr>
          <w:trHeight w:val="272"/>
        </w:trPr>
        <w:tc>
          <w:tcPr>
            <w:tcW w:w="3688" w:type="pct"/>
          </w:tcPr>
          <w:p w14:paraId="7FBB84E3" w14:textId="0AA99BA8"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škodu či újmu způsobenou vadným výrobkem pojištěného nebo vadně provedenou prací.</w:t>
            </w:r>
          </w:p>
        </w:tc>
        <w:tc>
          <w:tcPr>
            <w:tcW w:w="1312" w:type="pct"/>
            <w:shd w:val="clear" w:color="auto" w:fill="auto"/>
            <w:vAlign w:val="center"/>
          </w:tcPr>
          <w:p w14:paraId="57E607CD" w14:textId="0DE342AB"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30 000 000,-</w:t>
            </w:r>
          </w:p>
        </w:tc>
      </w:tr>
      <w:tr w:rsidR="00EB14BB" w:rsidRPr="001F0D4B" w14:paraId="79389077" w14:textId="77777777" w:rsidTr="00EB14BB">
        <w:trPr>
          <w:trHeight w:val="272"/>
        </w:trPr>
        <w:tc>
          <w:tcPr>
            <w:tcW w:w="3688" w:type="pct"/>
          </w:tcPr>
          <w:p w14:paraId="2ECE4A28" w14:textId="083998EB"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čistých finančních škod vzniklých nezákonným rozhodnutím</w:t>
            </w:r>
            <w:r w:rsidR="00196999" w:rsidRPr="001F0D4B">
              <w:rPr>
                <w:rFonts w:asciiTheme="minorHAnsi" w:hAnsiTheme="minorHAnsi" w:cstheme="minorHAnsi"/>
                <w:sz w:val="22"/>
                <w:szCs w:val="22"/>
              </w:rPr>
              <w:t xml:space="preserve"> nebo nesprávným úředním postupem ve smyslu zákona 82/1998 Sb.</w:t>
            </w:r>
          </w:p>
          <w:p w14:paraId="5CF6BB2B" w14:textId="137F0025"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 xml:space="preserve">Pojištění se vztahuje i na škodu způsobenou v souvislosti s čerpáním či přípravou čerpání jakýchkoli dotací a grantů, nebo v souvislosti s organizací veřejných zakázek, zpracováním podkladů pro účast ve </w:t>
            </w:r>
            <w:r w:rsidRPr="001F0D4B">
              <w:rPr>
                <w:rFonts w:asciiTheme="minorHAnsi" w:hAnsiTheme="minorHAnsi" w:cstheme="minorHAnsi"/>
                <w:sz w:val="22"/>
                <w:szCs w:val="22"/>
              </w:rPr>
              <w:lastRenderedPageBreak/>
              <w:t>výběrovém řízení nebo veřejných zakázkách s limitem plnění ve výši 500 000,- Kč.</w:t>
            </w:r>
          </w:p>
        </w:tc>
        <w:tc>
          <w:tcPr>
            <w:tcW w:w="1312" w:type="pct"/>
            <w:shd w:val="clear" w:color="auto" w:fill="auto"/>
            <w:vAlign w:val="center"/>
          </w:tcPr>
          <w:p w14:paraId="00773BAA" w14:textId="41BA6980" w:rsidR="00EB14BB" w:rsidRPr="001F0D4B" w:rsidRDefault="00EB14BB" w:rsidP="00753AC7">
            <w:pPr>
              <w:pStyle w:val="Bezmezer"/>
              <w:jc w:val="right"/>
              <w:rPr>
                <w:rFonts w:asciiTheme="minorHAnsi" w:hAnsiTheme="minorHAnsi" w:cstheme="minorHAnsi"/>
                <w:sz w:val="22"/>
                <w:szCs w:val="22"/>
              </w:rPr>
            </w:pPr>
            <w:r w:rsidRPr="001F0D4B">
              <w:rPr>
                <w:rFonts w:asciiTheme="minorHAnsi" w:hAnsiTheme="minorHAnsi" w:cstheme="minorHAnsi"/>
                <w:sz w:val="22"/>
                <w:szCs w:val="22"/>
              </w:rPr>
              <w:lastRenderedPageBreak/>
              <w:t>5 000 000,-</w:t>
            </w:r>
          </w:p>
        </w:tc>
      </w:tr>
      <w:tr w:rsidR="00EB14BB" w:rsidRPr="001F0D4B" w14:paraId="6B6F6E97" w14:textId="77777777" w:rsidTr="00EB14BB">
        <w:trPr>
          <w:trHeight w:val="272"/>
        </w:trPr>
        <w:tc>
          <w:tcPr>
            <w:tcW w:w="3688" w:type="pct"/>
          </w:tcPr>
          <w:p w14:paraId="415E2F8D" w14:textId="643B8444" w:rsidR="00EB14BB" w:rsidRPr="001F0D4B" w:rsidRDefault="00EB14BB" w:rsidP="00753AC7">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škodu či újmu vzniklou na věcech vnesených či odložených – tj. věci žáků, studentů, ubytovaných, zaměstnanců, návštěvníků, pacientů, klientů apod.</w:t>
            </w:r>
          </w:p>
        </w:tc>
        <w:tc>
          <w:tcPr>
            <w:tcW w:w="1312" w:type="pct"/>
            <w:shd w:val="clear" w:color="auto" w:fill="auto"/>
            <w:vAlign w:val="center"/>
          </w:tcPr>
          <w:p w14:paraId="5552FAE1" w14:textId="1C013F5E" w:rsidR="00EB14BB" w:rsidRPr="001F0D4B" w:rsidRDefault="00EB14BB" w:rsidP="00753AC7">
            <w:pPr>
              <w:pStyle w:val="Bezmezer"/>
              <w:jc w:val="right"/>
              <w:rPr>
                <w:rFonts w:asciiTheme="minorHAnsi" w:hAnsiTheme="minorHAnsi" w:cstheme="minorHAnsi"/>
                <w:sz w:val="22"/>
                <w:szCs w:val="22"/>
              </w:rPr>
            </w:pPr>
            <w:r w:rsidRPr="001F0D4B">
              <w:rPr>
                <w:rFonts w:asciiTheme="minorHAnsi" w:hAnsiTheme="minorHAnsi" w:cstheme="minorHAnsi"/>
                <w:sz w:val="22"/>
                <w:szCs w:val="22"/>
              </w:rPr>
              <w:t>1 000 000,-</w:t>
            </w:r>
          </w:p>
        </w:tc>
      </w:tr>
      <w:tr w:rsidR="00EB14BB" w:rsidRPr="001F0D4B" w14:paraId="7F41B884" w14:textId="77777777" w:rsidTr="00EB14BB">
        <w:trPr>
          <w:trHeight w:val="272"/>
        </w:trPr>
        <w:tc>
          <w:tcPr>
            <w:tcW w:w="3688" w:type="pct"/>
          </w:tcPr>
          <w:p w14:paraId="57C7818B" w14:textId="030B1848" w:rsidR="00EB14BB" w:rsidRPr="001F0D4B" w:rsidRDefault="00196999" w:rsidP="00EB14BB">
            <w:pPr>
              <w:pStyle w:val="Bezmezer"/>
              <w:rPr>
                <w:rFonts w:asciiTheme="minorHAnsi" w:hAnsiTheme="minorHAnsi" w:cstheme="minorHAnsi"/>
                <w:sz w:val="22"/>
                <w:szCs w:val="22"/>
              </w:rPr>
            </w:pPr>
            <w:r w:rsidRPr="001F0D4B">
              <w:rPr>
                <w:rFonts w:asciiTheme="minorHAnsi" w:hAnsiTheme="minorHAnsi" w:cstheme="minorHAnsi"/>
                <w:sz w:val="22"/>
                <w:szCs w:val="22"/>
              </w:rPr>
              <w:t>Čistá finanční škoda</w:t>
            </w:r>
          </w:p>
          <w:p w14:paraId="6E934C00" w14:textId="77777777"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se vztahuje i na škodu způsobenou veřejně poskytnutou informací nebo radou, která je součástí přednáškové činnosti.</w:t>
            </w:r>
          </w:p>
          <w:p w14:paraId="23D7A186" w14:textId="2106792B"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se vztahuje i na škodu způsobenou v souvislosti s čerpáním či přípravou čerpání jakýchkoli dotací a grantů, nebo v souvislosti s organizací veřejných zakázek, zpracováním podkladů pro účast ve výběrovém řízení nebo veřejných zakázkách s limitem plnění ve výši 200 000,- Kč.</w:t>
            </w:r>
          </w:p>
          <w:p w14:paraId="225C5F88" w14:textId="207D748B"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 xml:space="preserve">Ujednává se, že se pojištění dále vztahuje i na povinnost pojištěného k náhradě nákladů řízení, které byly poškozeným účelně vynaloženy na zrušení nebo změnu nezákonného rozhodnutí nebo nápravu nesprávného úředního postupu, a to bez ohledu na to, zda poškozenému vznikla další škoda. Toto pojištění se vztahuje pouze na případy, kdy je povinnost k náhradě nákladů řízení uložena soudem podle procesních předpisů přímo pojištěnému. Pojistitel tyto náklady uhradí v rozsahu dle rozhodnutí soudu, a to přímo poškozenému, případně pojištěnému, pokud prokáže, že náklady již poškozenému uhradil. Pojištění dle tohoto ujednání se vztahuje na případy, kdy soud rozhodne o nákladech řízení po datu sjednání této doložky. Pro tuto část pojistného krytí se sjednává </w:t>
            </w:r>
            <w:proofErr w:type="spellStart"/>
            <w:r w:rsidRPr="001F0D4B">
              <w:rPr>
                <w:rFonts w:asciiTheme="minorHAnsi" w:hAnsiTheme="minorHAnsi" w:cstheme="minorHAnsi"/>
                <w:sz w:val="22"/>
                <w:szCs w:val="22"/>
              </w:rPr>
              <w:t>sublimit</w:t>
            </w:r>
            <w:proofErr w:type="spellEnd"/>
            <w:r w:rsidRPr="001F0D4B">
              <w:rPr>
                <w:rFonts w:asciiTheme="minorHAnsi" w:hAnsiTheme="minorHAnsi" w:cstheme="minorHAnsi"/>
                <w:sz w:val="22"/>
                <w:szCs w:val="22"/>
              </w:rPr>
              <w:t xml:space="preserve"> pojistného plnění ve výši 500 000,- Kč.</w:t>
            </w:r>
          </w:p>
          <w:p w14:paraId="4BA622BD" w14:textId="611A9DA7"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 xml:space="preserve">Pojištění čisté finanční škody v souvislosti s vadou výrobku nebo vadně provedenou prací se sjednává se </w:t>
            </w:r>
            <w:proofErr w:type="spellStart"/>
            <w:r w:rsidRPr="001F0D4B">
              <w:rPr>
                <w:rFonts w:asciiTheme="minorHAnsi" w:hAnsiTheme="minorHAnsi" w:cstheme="minorHAnsi"/>
                <w:sz w:val="22"/>
                <w:szCs w:val="22"/>
              </w:rPr>
              <w:t>sublimitem</w:t>
            </w:r>
            <w:proofErr w:type="spellEnd"/>
            <w:r w:rsidRPr="001F0D4B">
              <w:rPr>
                <w:rFonts w:asciiTheme="minorHAnsi" w:hAnsiTheme="minorHAnsi" w:cstheme="minorHAnsi"/>
                <w:sz w:val="22"/>
                <w:szCs w:val="22"/>
              </w:rPr>
              <w:t xml:space="preserve"> plnění ve výši 500 000,- Kč.</w:t>
            </w:r>
          </w:p>
        </w:tc>
        <w:tc>
          <w:tcPr>
            <w:tcW w:w="1312" w:type="pct"/>
            <w:shd w:val="clear" w:color="auto" w:fill="auto"/>
            <w:vAlign w:val="center"/>
          </w:tcPr>
          <w:p w14:paraId="3F8F8081" w14:textId="36C44DE3" w:rsidR="00EB14BB" w:rsidRPr="001F0D4B" w:rsidRDefault="00EB14BB" w:rsidP="00753AC7">
            <w:pPr>
              <w:pStyle w:val="Bezmezer"/>
              <w:jc w:val="right"/>
              <w:rPr>
                <w:rFonts w:asciiTheme="minorHAnsi" w:hAnsiTheme="minorHAnsi" w:cstheme="minorHAnsi"/>
                <w:sz w:val="22"/>
                <w:szCs w:val="22"/>
              </w:rPr>
            </w:pPr>
            <w:r w:rsidRPr="001F0D4B">
              <w:rPr>
                <w:rFonts w:asciiTheme="minorHAnsi" w:hAnsiTheme="minorHAnsi" w:cstheme="minorHAnsi"/>
                <w:sz w:val="22"/>
                <w:szCs w:val="22"/>
              </w:rPr>
              <w:t>1 000 000,-</w:t>
            </w:r>
          </w:p>
        </w:tc>
      </w:tr>
      <w:tr w:rsidR="00EB14BB" w:rsidRPr="001F0D4B" w14:paraId="0720C28B" w14:textId="77777777" w:rsidTr="00EB14BB">
        <w:trPr>
          <w:trHeight w:val="272"/>
        </w:trPr>
        <w:tc>
          <w:tcPr>
            <w:tcW w:w="3688" w:type="pct"/>
          </w:tcPr>
          <w:p w14:paraId="4AF1B806" w14:textId="77777777"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Věci užívané</w:t>
            </w:r>
          </w:p>
          <w:p w14:paraId="59DE05DE" w14:textId="6A795E59"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Věci převzaté</w:t>
            </w:r>
          </w:p>
        </w:tc>
        <w:tc>
          <w:tcPr>
            <w:tcW w:w="1312" w:type="pct"/>
            <w:shd w:val="clear" w:color="auto" w:fill="auto"/>
            <w:vAlign w:val="center"/>
          </w:tcPr>
          <w:p w14:paraId="3593EE11" w14:textId="0828F9CE"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2 000 000,-</w:t>
            </w:r>
          </w:p>
        </w:tc>
      </w:tr>
      <w:tr w:rsidR="00EB14BB" w:rsidRPr="001F0D4B" w14:paraId="3CE5BDEA" w14:textId="77777777" w:rsidTr="00EB14BB">
        <w:trPr>
          <w:trHeight w:val="272"/>
        </w:trPr>
        <w:tc>
          <w:tcPr>
            <w:tcW w:w="3688" w:type="pct"/>
          </w:tcPr>
          <w:p w14:paraId="68BD52FE" w14:textId="086193DF" w:rsidR="00EB14BB" w:rsidRPr="001F0D4B" w:rsidRDefault="0039327D" w:rsidP="00EB14BB">
            <w:pPr>
              <w:pStyle w:val="Bezmezer"/>
              <w:rPr>
                <w:rFonts w:asciiTheme="minorHAnsi" w:hAnsiTheme="minorHAnsi" w:cstheme="minorHAnsi"/>
                <w:sz w:val="22"/>
                <w:szCs w:val="22"/>
              </w:rPr>
            </w:pPr>
            <w:r w:rsidRPr="001F0D4B">
              <w:rPr>
                <w:rFonts w:asciiTheme="minorHAnsi" w:hAnsiTheme="minorHAnsi" w:cstheme="minorHAnsi"/>
                <w:sz w:val="22"/>
                <w:szCs w:val="22"/>
              </w:rPr>
              <w:t>Náhrada nákladů na hrazené služby zaměstnance pojištěného vynaložených zdravotní pojišťovnou a regresní náhrada dávek nemocenského pojištění</w:t>
            </w:r>
          </w:p>
        </w:tc>
        <w:tc>
          <w:tcPr>
            <w:tcW w:w="1312" w:type="pct"/>
            <w:shd w:val="clear" w:color="auto" w:fill="auto"/>
            <w:vAlign w:val="center"/>
          </w:tcPr>
          <w:p w14:paraId="4225BD8E" w14:textId="4180A10B"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10 000 000,-</w:t>
            </w:r>
          </w:p>
        </w:tc>
      </w:tr>
      <w:tr w:rsidR="00EB14BB" w:rsidRPr="001F0D4B" w14:paraId="1B1CCEE8" w14:textId="77777777" w:rsidTr="00EB14BB">
        <w:trPr>
          <w:trHeight w:val="272"/>
        </w:trPr>
        <w:tc>
          <w:tcPr>
            <w:tcW w:w="3688" w:type="pct"/>
          </w:tcPr>
          <w:p w14:paraId="1F46E7AE" w14:textId="7B29AD84" w:rsidR="00EB14BB" w:rsidRPr="001F0D4B" w:rsidRDefault="00196999" w:rsidP="00EB14BB">
            <w:pPr>
              <w:pStyle w:val="Bezmezer"/>
              <w:rPr>
                <w:rFonts w:asciiTheme="minorHAnsi" w:hAnsiTheme="minorHAnsi" w:cstheme="minorHAnsi"/>
                <w:sz w:val="22"/>
                <w:szCs w:val="22"/>
              </w:rPr>
            </w:pPr>
            <w:r w:rsidRPr="001F0D4B">
              <w:rPr>
                <w:rFonts w:asciiTheme="minorHAnsi" w:hAnsiTheme="minorHAnsi" w:cstheme="minorHAnsi"/>
                <w:sz w:val="22"/>
                <w:szCs w:val="22"/>
              </w:rPr>
              <w:t>Odpovědnost</w:t>
            </w:r>
            <w:r w:rsidR="00EB14BB" w:rsidRPr="001F0D4B">
              <w:rPr>
                <w:rFonts w:asciiTheme="minorHAnsi" w:hAnsiTheme="minorHAnsi" w:cstheme="minorHAnsi"/>
                <w:sz w:val="22"/>
                <w:szCs w:val="22"/>
              </w:rPr>
              <w:t xml:space="preserve"> za škodu či újmu způsobenou zaměstnanci, osobám ve výkonu veřejných funkcí nebo členům sboru dobrovolných hasičů při plnění pracovních úkolů nebo v přímé souvislosti s nimi. Pojištění se vztahuje také na poškození mobilních telefonů, notebooků, ostatních elektronických zařízení a jízdních kol)</w:t>
            </w:r>
          </w:p>
          <w:p w14:paraId="66F32A88" w14:textId="6436B3E5" w:rsidR="0039327D" w:rsidRPr="001F0D4B" w:rsidRDefault="0039327D"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se sjednává bez spoluúčasti na pojistném plnění.</w:t>
            </w:r>
          </w:p>
        </w:tc>
        <w:tc>
          <w:tcPr>
            <w:tcW w:w="1312" w:type="pct"/>
            <w:shd w:val="clear" w:color="auto" w:fill="auto"/>
            <w:vAlign w:val="center"/>
          </w:tcPr>
          <w:p w14:paraId="19B3A064" w14:textId="5FE16202"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500 000,-</w:t>
            </w:r>
          </w:p>
        </w:tc>
      </w:tr>
      <w:tr w:rsidR="00EB14BB" w:rsidRPr="001F0D4B" w14:paraId="5BFEF19E" w14:textId="77777777" w:rsidTr="00EB14BB">
        <w:trPr>
          <w:trHeight w:val="272"/>
        </w:trPr>
        <w:tc>
          <w:tcPr>
            <w:tcW w:w="3688" w:type="pct"/>
          </w:tcPr>
          <w:p w14:paraId="587A23EA" w14:textId="1BD99BEB"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křížové odpovědnosti (vůči majetkově propojeným a spolupojištěným společnostem</w:t>
            </w:r>
            <w:r w:rsidR="0039327D" w:rsidRPr="001F0D4B">
              <w:rPr>
                <w:rFonts w:asciiTheme="minorHAnsi" w:hAnsiTheme="minorHAnsi" w:cstheme="minorHAnsi"/>
                <w:sz w:val="22"/>
                <w:szCs w:val="22"/>
              </w:rPr>
              <w:t xml:space="preserve"> – pokud není kryto základním rozsahem</w:t>
            </w:r>
            <w:r w:rsidRPr="001F0D4B">
              <w:rPr>
                <w:rFonts w:asciiTheme="minorHAnsi" w:hAnsiTheme="minorHAnsi" w:cstheme="minorHAnsi"/>
                <w:sz w:val="22"/>
                <w:szCs w:val="22"/>
              </w:rPr>
              <w:t>)</w:t>
            </w:r>
          </w:p>
        </w:tc>
        <w:tc>
          <w:tcPr>
            <w:tcW w:w="1312" w:type="pct"/>
            <w:shd w:val="clear" w:color="auto" w:fill="auto"/>
            <w:vAlign w:val="center"/>
          </w:tcPr>
          <w:p w14:paraId="60C0B57A" w14:textId="2044C00F"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1 000 000,-</w:t>
            </w:r>
          </w:p>
        </w:tc>
      </w:tr>
      <w:tr w:rsidR="00EB14BB" w:rsidRPr="001F0D4B" w14:paraId="52591608" w14:textId="77777777" w:rsidTr="00EB14BB">
        <w:trPr>
          <w:trHeight w:val="272"/>
        </w:trPr>
        <w:tc>
          <w:tcPr>
            <w:tcW w:w="3688" w:type="pct"/>
          </w:tcPr>
          <w:p w14:paraId="0B3B73C6" w14:textId="77777777"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náhrady nákladů na předcházení nebo nápravu ekologické újmy.</w:t>
            </w:r>
          </w:p>
          <w:p w14:paraId="0408DAB9" w14:textId="02D5268F"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škodu způsobenou na životním prostředí.</w:t>
            </w:r>
          </w:p>
        </w:tc>
        <w:tc>
          <w:tcPr>
            <w:tcW w:w="1312" w:type="pct"/>
            <w:shd w:val="clear" w:color="auto" w:fill="auto"/>
            <w:vAlign w:val="center"/>
          </w:tcPr>
          <w:p w14:paraId="62BB9BE9" w14:textId="4353BC07" w:rsidR="00EB14BB" w:rsidRPr="001F0D4B" w:rsidRDefault="00EB14BB" w:rsidP="00753AC7">
            <w:pPr>
              <w:pStyle w:val="Bezmezer"/>
              <w:jc w:val="right"/>
              <w:rPr>
                <w:rFonts w:asciiTheme="minorHAnsi" w:hAnsiTheme="minorHAnsi" w:cstheme="minorHAnsi"/>
                <w:sz w:val="22"/>
                <w:szCs w:val="22"/>
              </w:rPr>
            </w:pPr>
            <w:r w:rsidRPr="001F0D4B">
              <w:rPr>
                <w:rFonts w:asciiTheme="minorHAnsi" w:hAnsiTheme="minorHAnsi" w:cstheme="minorHAnsi"/>
                <w:sz w:val="22"/>
                <w:szCs w:val="22"/>
              </w:rPr>
              <w:t>500 000,-</w:t>
            </w:r>
          </w:p>
        </w:tc>
      </w:tr>
      <w:tr w:rsidR="00EB14BB" w:rsidRPr="001F0D4B" w14:paraId="54C4C890" w14:textId="77777777" w:rsidTr="00EB14BB">
        <w:trPr>
          <w:trHeight w:val="272"/>
        </w:trPr>
        <w:tc>
          <w:tcPr>
            <w:tcW w:w="3688" w:type="pct"/>
          </w:tcPr>
          <w:p w14:paraId="1BB8BCF9" w14:textId="42646DF6" w:rsidR="00EB14BB" w:rsidRPr="001F0D4B" w:rsidRDefault="00EB14BB" w:rsidP="00753AC7">
            <w:pPr>
              <w:pStyle w:val="Bezmezer"/>
              <w:rPr>
                <w:rFonts w:asciiTheme="minorHAnsi" w:hAnsiTheme="minorHAnsi" w:cstheme="minorHAnsi"/>
                <w:sz w:val="22"/>
                <w:szCs w:val="22"/>
              </w:rPr>
            </w:pPr>
            <w:r w:rsidRPr="001F0D4B">
              <w:rPr>
                <w:rFonts w:asciiTheme="minorHAnsi" w:hAnsiTheme="minorHAnsi" w:cstheme="minorHAnsi"/>
                <w:sz w:val="22"/>
                <w:szCs w:val="22"/>
              </w:rPr>
              <w:t>Odpovědnost za škodu či újmu v souvislosti s provozem vozidla (nebo pracovního stroje).</w:t>
            </w:r>
          </w:p>
        </w:tc>
        <w:tc>
          <w:tcPr>
            <w:tcW w:w="1312" w:type="pct"/>
            <w:shd w:val="clear" w:color="auto" w:fill="auto"/>
            <w:vAlign w:val="center"/>
          </w:tcPr>
          <w:p w14:paraId="1936576E" w14:textId="041823D0" w:rsidR="00EB14BB" w:rsidRPr="001F0D4B" w:rsidRDefault="00EB14BB" w:rsidP="00753AC7">
            <w:pPr>
              <w:pStyle w:val="Bezmezer"/>
              <w:jc w:val="right"/>
              <w:rPr>
                <w:rFonts w:asciiTheme="minorHAnsi" w:hAnsiTheme="minorHAnsi" w:cstheme="minorHAnsi"/>
                <w:sz w:val="22"/>
                <w:szCs w:val="22"/>
              </w:rPr>
            </w:pPr>
            <w:r w:rsidRPr="001F0D4B">
              <w:rPr>
                <w:rFonts w:asciiTheme="minorHAnsi" w:hAnsiTheme="minorHAnsi" w:cstheme="minorHAnsi"/>
                <w:sz w:val="22"/>
                <w:szCs w:val="22"/>
              </w:rPr>
              <w:t>5 000 000,-</w:t>
            </w:r>
          </w:p>
        </w:tc>
      </w:tr>
      <w:tr w:rsidR="00EB14BB" w:rsidRPr="001F0D4B" w14:paraId="3633E0A1" w14:textId="77777777" w:rsidTr="00EB14BB">
        <w:trPr>
          <w:trHeight w:val="272"/>
        </w:trPr>
        <w:tc>
          <w:tcPr>
            <w:tcW w:w="3688" w:type="pct"/>
          </w:tcPr>
          <w:p w14:paraId="4710F6BE" w14:textId="77777777"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škodu či újmu způsobenou městu anebo jiné osobě starostou, místostarostou, členem rady nebo zastupitelstva.</w:t>
            </w:r>
          </w:p>
          <w:p w14:paraId="083432CD" w14:textId="4226CF9F"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 xml:space="preserve">Povinnost pojištěného nahradit škodu nebo újmu při ublížení na zdraví nebo usmrcení vzniklou v souvislosti s dotacemi z Evropské Unie včetně zpracování žádosti o dotace a granty a organizování veřejných zakázek se </w:t>
            </w:r>
            <w:r w:rsidRPr="001F0D4B">
              <w:rPr>
                <w:rFonts w:asciiTheme="minorHAnsi" w:hAnsiTheme="minorHAnsi" w:cstheme="minorHAnsi"/>
                <w:sz w:val="22"/>
                <w:szCs w:val="22"/>
              </w:rPr>
              <w:lastRenderedPageBreak/>
              <w:t xml:space="preserve">sjednává se </w:t>
            </w:r>
            <w:proofErr w:type="spellStart"/>
            <w:r w:rsidRPr="001F0D4B">
              <w:rPr>
                <w:rFonts w:asciiTheme="minorHAnsi" w:hAnsiTheme="minorHAnsi" w:cstheme="minorHAnsi"/>
                <w:sz w:val="22"/>
                <w:szCs w:val="22"/>
              </w:rPr>
              <w:t>sublimitem</w:t>
            </w:r>
            <w:proofErr w:type="spellEnd"/>
            <w:r w:rsidRPr="001F0D4B">
              <w:rPr>
                <w:rFonts w:asciiTheme="minorHAnsi" w:hAnsiTheme="minorHAnsi" w:cstheme="minorHAnsi"/>
                <w:sz w:val="22"/>
                <w:szCs w:val="22"/>
              </w:rPr>
              <w:t xml:space="preserve"> pojistného plnění </w:t>
            </w:r>
            <w:proofErr w:type="gramStart"/>
            <w:r w:rsidRPr="001F0D4B">
              <w:rPr>
                <w:rFonts w:asciiTheme="minorHAnsi" w:hAnsiTheme="minorHAnsi" w:cstheme="minorHAnsi"/>
                <w:sz w:val="22"/>
                <w:szCs w:val="22"/>
              </w:rPr>
              <w:t>500.000,-</w:t>
            </w:r>
            <w:proofErr w:type="gramEnd"/>
            <w:r w:rsidRPr="001F0D4B">
              <w:rPr>
                <w:rFonts w:asciiTheme="minorHAnsi" w:hAnsiTheme="minorHAnsi" w:cstheme="minorHAnsi"/>
                <w:sz w:val="22"/>
                <w:szCs w:val="22"/>
              </w:rPr>
              <w:t xml:space="preserve"> Kč.</w:t>
            </w:r>
          </w:p>
        </w:tc>
        <w:tc>
          <w:tcPr>
            <w:tcW w:w="1312" w:type="pct"/>
            <w:shd w:val="clear" w:color="auto" w:fill="auto"/>
            <w:vAlign w:val="center"/>
          </w:tcPr>
          <w:p w14:paraId="558DA65B" w14:textId="2A75C529" w:rsidR="00EB14BB" w:rsidRPr="001F0D4B" w:rsidRDefault="00EB14BB" w:rsidP="00753AC7">
            <w:pPr>
              <w:pStyle w:val="Bezmezer"/>
              <w:jc w:val="right"/>
              <w:rPr>
                <w:rFonts w:asciiTheme="minorHAnsi" w:hAnsiTheme="minorHAnsi" w:cstheme="minorHAnsi"/>
                <w:sz w:val="22"/>
                <w:szCs w:val="22"/>
              </w:rPr>
            </w:pPr>
            <w:r w:rsidRPr="001F0D4B">
              <w:rPr>
                <w:rFonts w:asciiTheme="minorHAnsi" w:hAnsiTheme="minorHAnsi" w:cstheme="minorHAnsi"/>
                <w:sz w:val="22"/>
                <w:szCs w:val="22"/>
              </w:rPr>
              <w:lastRenderedPageBreak/>
              <w:t>1 000 000,-</w:t>
            </w:r>
          </w:p>
        </w:tc>
      </w:tr>
      <w:tr w:rsidR="00EB14BB" w:rsidRPr="001F0D4B" w14:paraId="561E82FA" w14:textId="77777777" w:rsidTr="00EB14BB">
        <w:trPr>
          <w:trHeight w:val="272"/>
        </w:trPr>
        <w:tc>
          <w:tcPr>
            <w:tcW w:w="3688" w:type="pct"/>
          </w:tcPr>
          <w:p w14:paraId="2F4D074F" w14:textId="4A92272E"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škody či újmy způsobené osobami/osobám vykonávajícími veřejně prospěšné práce pod záštitou pojištěného.</w:t>
            </w:r>
          </w:p>
        </w:tc>
        <w:tc>
          <w:tcPr>
            <w:tcW w:w="1312" w:type="pct"/>
            <w:shd w:val="clear" w:color="auto" w:fill="auto"/>
            <w:vAlign w:val="center"/>
          </w:tcPr>
          <w:p w14:paraId="391E2FDA" w14:textId="44EA4863"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 xml:space="preserve">1 000 000,- </w:t>
            </w:r>
          </w:p>
        </w:tc>
      </w:tr>
      <w:tr w:rsidR="00EB14BB" w:rsidRPr="001F0D4B" w14:paraId="76F5AC9A" w14:textId="77777777" w:rsidTr="00EB14BB">
        <w:trPr>
          <w:trHeight w:val="272"/>
        </w:trPr>
        <w:tc>
          <w:tcPr>
            <w:tcW w:w="3688" w:type="pct"/>
          </w:tcPr>
          <w:p w14:paraId="54AD4790" w14:textId="72CDD5D8"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škody či újmy způsobené v souvislosti s poskytováním sociálních služeb v souladu se zákonem 108/2006 Sb., o sociálních službách</w:t>
            </w:r>
          </w:p>
        </w:tc>
        <w:tc>
          <w:tcPr>
            <w:tcW w:w="1312" w:type="pct"/>
            <w:shd w:val="clear" w:color="auto" w:fill="auto"/>
            <w:vAlign w:val="center"/>
          </w:tcPr>
          <w:p w14:paraId="169F43B8" w14:textId="627021EC"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1 000 000,-</w:t>
            </w:r>
          </w:p>
        </w:tc>
      </w:tr>
      <w:tr w:rsidR="00EB14BB" w:rsidRPr="001F0D4B" w14:paraId="7CC1EB8D" w14:textId="77777777" w:rsidTr="00EB14BB">
        <w:trPr>
          <w:trHeight w:val="272"/>
        </w:trPr>
        <w:tc>
          <w:tcPr>
            <w:tcW w:w="3688" w:type="pct"/>
          </w:tcPr>
          <w:p w14:paraId="343360E4" w14:textId="18643522"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škody či újmy způsobené městskou (obecní) policií</w:t>
            </w:r>
          </w:p>
        </w:tc>
        <w:tc>
          <w:tcPr>
            <w:tcW w:w="1312" w:type="pct"/>
            <w:shd w:val="clear" w:color="auto" w:fill="auto"/>
            <w:vAlign w:val="center"/>
          </w:tcPr>
          <w:p w14:paraId="3218CECA" w14:textId="5F681CFA" w:rsidR="00EB14BB" w:rsidRPr="001F0D4B" w:rsidRDefault="009E53F3"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2</w:t>
            </w:r>
            <w:r w:rsidR="00EB14BB" w:rsidRPr="001F0D4B">
              <w:rPr>
                <w:rFonts w:asciiTheme="minorHAnsi" w:hAnsiTheme="minorHAnsi" w:cstheme="minorHAnsi"/>
                <w:sz w:val="22"/>
                <w:szCs w:val="22"/>
              </w:rPr>
              <w:t xml:space="preserve">0 000 000,- </w:t>
            </w:r>
          </w:p>
        </w:tc>
      </w:tr>
      <w:tr w:rsidR="00EB14BB" w:rsidRPr="001F0D4B" w14:paraId="68970765" w14:textId="77777777" w:rsidTr="00EB14BB">
        <w:trPr>
          <w:trHeight w:val="272"/>
        </w:trPr>
        <w:tc>
          <w:tcPr>
            <w:tcW w:w="3688" w:type="pct"/>
          </w:tcPr>
          <w:p w14:paraId="243441E2" w14:textId="570A9FB8" w:rsidR="00EB14BB" w:rsidRPr="001F0D4B" w:rsidRDefault="00EB14BB" w:rsidP="00EB14BB">
            <w:pPr>
              <w:pStyle w:val="Bezmezer"/>
              <w:rPr>
                <w:rFonts w:asciiTheme="minorHAnsi" w:hAnsiTheme="minorHAnsi" w:cstheme="minorHAnsi"/>
                <w:sz w:val="22"/>
                <w:szCs w:val="22"/>
              </w:rPr>
            </w:pPr>
            <w:r w:rsidRPr="001F0D4B">
              <w:rPr>
                <w:rFonts w:asciiTheme="minorHAnsi" w:hAnsiTheme="minorHAnsi" w:cstheme="minorHAnsi"/>
                <w:sz w:val="22"/>
                <w:szCs w:val="22"/>
              </w:rPr>
              <w:t>Pojištění odpovědnosti za škody či újmy způsobené hasičským sborem a dobrovolným hasičským sborem</w:t>
            </w:r>
          </w:p>
        </w:tc>
        <w:tc>
          <w:tcPr>
            <w:tcW w:w="1312" w:type="pct"/>
            <w:shd w:val="clear" w:color="auto" w:fill="auto"/>
            <w:vAlign w:val="center"/>
          </w:tcPr>
          <w:p w14:paraId="03D04941" w14:textId="362B6856" w:rsidR="00EB14BB" w:rsidRPr="001F0D4B" w:rsidRDefault="00EB14BB"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10 000 000,-</w:t>
            </w:r>
          </w:p>
        </w:tc>
      </w:tr>
      <w:tr w:rsidR="009E53F3" w:rsidRPr="001F0D4B" w14:paraId="75E79C1A" w14:textId="77777777" w:rsidTr="00EB14BB">
        <w:trPr>
          <w:trHeight w:val="272"/>
        </w:trPr>
        <w:tc>
          <w:tcPr>
            <w:tcW w:w="3688" w:type="pct"/>
          </w:tcPr>
          <w:p w14:paraId="258A072E" w14:textId="5030E57E" w:rsidR="009E53F3" w:rsidRPr="001F0D4B" w:rsidRDefault="009E53F3" w:rsidP="00EB14BB">
            <w:pPr>
              <w:pStyle w:val="Bezmezer"/>
              <w:rPr>
                <w:rFonts w:asciiTheme="minorHAnsi" w:hAnsiTheme="minorHAnsi" w:cstheme="minorHAnsi"/>
                <w:sz w:val="22"/>
                <w:szCs w:val="22"/>
              </w:rPr>
            </w:pPr>
            <w:r w:rsidRPr="001F0D4B">
              <w:rPr>
                <w:rFonts w:asciiTheme="minorHAnsi" w:hAnsiTheme="minorHAnsi" w:cstheme="minorHAnsi"/>
                <w:sz w:val="22"/>
                <w:szCs w:val="22"/>
              </w:rPr>
              <w:t>Odpovědnost školského zařízení za krádež věcí žáků, studentů, učňů v šatnách, včetně finanční hotovosti, mobilních telefonů, oděvů, obuvi</w:t>
            </w:r>
          </w:p>
        </w:tc>
        <w:tc>
          <w:tcPr>
            <w:tcW w:w="1312" w:type="pct"/>
            <w:shd w:val="clear" w:color="auto" w:fill="auto"/>
            <w:vAlign w:val="center"/>
          </w:tcPr>
          <w:p w14:paraId="3B423492" w14:textId="71934F8F" w:rsidR="009E53F3" w:rsidRPr="001F0D4B" w:rsidRDefault="009E53F3" w:rsidP="00EB14BB">
            <w:pPr>
              <w:pStyle w:val="Bezmezer"/>
              <w:jc w:val="right"/>
              <w:rPr>
                <w:rFonts w:asciiTheme="minorHAnsi" w:hAnsiTheme="minorHAnsi" w:cstheme="minorHAnsi"/>
                <w:sz w:val="22"/>
                <w:szCs w:val="22"/>
              </w:rPr>
            </w:pPr>
            <w:r w:rsidRPr="001F0D4B">
              <w:rPr>
                <w:rFonts w:asciiTheme="minorHAnsi" w:hAnsiTheme="minorHAnsi" w:cstheme="minorHAnsi"/>
                <w:sz w:val="22"/>
                <w:szCs w:val="22"/>
              </w:rPr>
              <w:t>500 000,-</w:t>
            </w:r>
          </w:p>
        </w:tc>
      </w:tr>
    </w:tbl>
    <w:p w14:paraId="490E0778" w14:textId="75CBF0FC" w:rsidR="00B94A58" w:rsidRPr="001F0D4B" w:rsidRDefault="00B94A58">
      <w:pPr>
        <w:rPr>
          <w:rFonts w:asciiTheme="minorHAnsi" w:eastAsia="Times New Roman" w:hAnsiTheme="minorHAnsi" w:cstheme="minorHAnsi"/>
          <w:color w:val="283164"/>
          <w:sz w:val="22"/>
          <w:szCs w:val="22"/>
        </w:rPr>
      </w:pPr>
    </w:p>
    <w:p w14:paraId="5C8AC6D1" w14:textId="25AEEC1A" w:rsidR="00B94A58" w:rsidRPr="001F0D4B" w:rsidRDefault="00BA421E" w:rsidP="00BA421E">
      <w:pPr>
        <w:rPr>
          <w:rFonts w:asciiTheme="minorHAnsi" w:eastAsia="Times New Roman" w:hAnsiTheme="minorHAnsi" w:cstheme="minorHAnsi"/>
          <w:b/>
          <w:bCs/>
          <w:color w:val="auto"/>
          <w:sz w:val="22"/>
          <w:szCs w:val="22"/>
        </w:rPr>
      </w:pPr>
      <w:r w:rsidRPr="001F0D4B">
        <w:rPr>
          <w:rFonts w:asciiTheme="minorHAnsi" w:eastAsia="Times New Roman" w:hAnsiTheme="minorHAnsi" w:cstheme="minorHAnsi"/>
          <w:b/>
          <w:bCs/>
          <w:color w:val="auto"/>
          <w:sz w:val="22"/>
          <w:szCs w:val="22"/>
        </w:rPr>
        <w:t xml:space="preserve">Spoluúčasti </w:t>
      </w:r>
    </w:p>
    <w:p w14:paraId="4FD0F2A1" w14:textId="2E8C2958" w:rsidR="00BA421E" w:rsidRPr="001F0D4B" w:rsidRDefault="0039327D" w:rsidP="00BA421E">
      <w:pPr>
        <w:rPr>
          <w:rFonts w:asciiTheme="minorHAnsi" w:hAnsiTheme="minorHAnsi" w:cstheme="minorHAnsi"/>
          <w:sz w:val="22"/>
          <w:szCs w:val="22"/>
        </w:rPr>
      </w:pPr>
      <w:r w:rsidRPr="001F0D4B">
        <w:rPr>
          <w:rFonts w:asciiTheme="minorHAnsi" w:hAnsiTheme="minorHAnsi" w:cstheme="minorHAnsi"/>
          <w:sz w:val="22"/>
          <w:szCs w:val="22"/>
        </w:rPr>
        <w:t>1 000,- Kč, pokud není ujednáno jinak.</w:t>
      </w:r>
    </w:p>
    <w:p w14:paraId="521AD2B5" w14:textId="506933B0" w:rsidR="0039327D" w:rsidRPr="001F0D4B" w:rsidRDefault="0039327D" w:rsidP="009E53F3">
      <w:pPr>
        <w:rPr>
          <w:rFonts w:asciiTheme="minorHAnsi" w:hAnsiTheme="minorHAnsi" w:cstheme="minorHAnsi"/>
          <w:sz w:val="22"/>
          <w:szCs w:val="22"/>
        </w:rPr>
      </w:pPr>
      <w:r w:rsidRPr="001F0D4B">
        <w:rPr>
          <w:rFonts w:asciiTheme="minorHAnsi" w:hAnsiTheme="minorHAnsi" w:cstheme="minorHAnsi"/>
          <w:sz w:val="22"/>
          <w:szCs w:val="22"/>
        </w:rPr>
        <w:t>Pro subjekty zařazené do sítě škol a školských zařízení se pojištění odpovědnosti za škodu či újmu na zdraví nebo na životě žáků a dětí sjednává bez spoluúčasti. Pro pojištění odpovědnosti za ostatní škody či újmy platí spoluúčast sjednaná v pojistné smlouvě.</w:t>
      </w:r>
    </w:p>
    <w:p w14:paraId="6EF0BBD4" w14:textId="2462AC81" w:rsidR="009E53F3" w:rsidRPr="001F0D4B" w:rsidRDefault="009E53F3" w:rsidP="009E53F3">
      <w:pPr>
        <w:rPr>
          <w:rFonts w:asciiTheme="minorHAnsi" w:hAnsiTheme="minorHAnsi" w:cstheme="minorHAnsi"/>
          <w:sz w:val="22"/>
          <w:szCs w:val="22"/>
        </w:rPr>
      </w:pPr>
    </w:p>
    <w:p w14:paraId="78808755" w14:textId="4A072E95" w:rsidR="009E53F3" w:rsidRPr="001F0D4B" w:rsidRDefault="009E53F3" w:rsidP="009E53F3">
      <w:pPr>
        <w:rPr>
          <w:rFonts w:asciiTheme="minorHAnsi" w:hAnsiTheme="minorHAnsi" w:cstheme="minorHAnsi"/>
          <w:b/>
          <w:bCs/>
          <w:sz w:val="22"/>
          <w:szCs w:val="22"/>
        </w:rPr>
      </w:pPr>
      <w:r w:rsidRPr="001F0D4B">
        <w:rPr>
          <w:rFonts w:asciiTheme="minorHAnsi" w:hAnsiTheme="minorHAnsi" w:cstheme="minorHAnsi"/>
          <w:b/>
          <w:bCs/>
          <w:sz w:val="22"/>
          <w:szCs w:val="22"/>
        </w:rPr>
        <w:t>Územní rozsah pojištění</w:t>
      </w:r>
    </w:p>
    <w:p w14:paraId="1092DCEE" w14:textId="15319DAA" w:rsidR="009E53F3" w:rsidRPr="001F0D4B" w:rsidRDefault="009E53F3" w:rsidP="009E53F3">
      <w:pPr>
        <w:rPr>
          <w:rFonts w:asciiTheme="minorHAnsi" w:hAnsiTheme="minorHAnsi" w:cstheme="minorHAnsi"/>
          <w:sz w:val="22"/>
          <w:szCs w:val="22"/>
        </w:rPr>
      </w:pPr>
      <w:r w:rsidRPr="001F0D4B">
        <w:rPr>
          <w:rFonts w:asciiTheme="minorHAnsi" w:hAnsiTheme="minorHAnsi" w:cstheme="minorHAnsi"/>
          <w:sz w:val="22"/>
          <w:szCs w:val="22"/>
        </w:rPr>
        <w:t>Česká republika</w:t>
      </w:r>
    </w:p>
    <w:p w14:paraId="2B7A3E07" w14:textId="20EDF16A" w:rsidR="009E53F3" w:rsidRPr="001F0D4B" w:rsidRDefault="00AE1105" w:rsidP="009E53F3">
      <w:pPr>
        <w:rPr>
          <w:rFonts w:asciiTheme="minorHAnsi" w:hAnsiTheme="minorHAnsi" w:cstheme="minorHAnsi"/>
          <w:sz w:val="22"/>
          <w:szCs w:val="22"/>
        </w:rPr>
      </w:pPr>
      <w:r w:rsidRPr="001F0D4B">
        <w:rPr>
          <w:rFonts w:asciiTheme="minorHAnsi" w:hAnsiTheme="minorHAnsi" w:cstheme="minorHAnsi"/>
          <w:sz w:val="22"/>
          <w:szCs w:val="22"/>
        </w:rPr>
        <w:t>Pro pojištění odpovědnosti za újmu na životě, zdraví a věcech žáků se sjednává územní rozsah Evropa</w:t>
      </w:r>
    </w:p>
    <w:sectPr w:rsidR="009E53F3" w:rsidRPr="001F0D4B" w:rsidSect="001F0D4B">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E485B" w14:textId="77777777" w:rsidR="00F10822" w:rsidRDefault="00F10822" w:rsidP="004F5014">
      <w:pPr>
        <w:spacing w:line="240" w:lineRule="auto"/>
      </w:pPr>
      <w:r>
        <w:separator/>
      </w:r>
    </w:p>
  </w:endnote>
  <w:endnote w:type="continuationSeparator" w:id="0">
    <w:p w14:paraId="5DCE142C" w14:textId="77777777" w:rsidR="00F10822" w:rsidRDefault="00F10822" w:rsidP="004F5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1056661"/>
      <w:docPartObj>
        <w:docPartGallery w:val="Page Numbers (Bottom of Page)"/>
        <w:docPartUnique/>
      </w:docPartObj>
    </w:sdtPr>
    <w:sdtEndPr>
      <w:rPr>
        <w:rFonts w:asciiTheme="minorHAnsi" w:hAnsiTheme="minorHAnsi" w:cstheme="minorHAnsi"/>
        <w:i/>
        <w:iCs/>
      </w:rPr>
    </w:sdtEndPr>
    <w:sdtContent>
      <w:p w14:paraId="143519F5" w14:textId="0D895A1B" w:rsidR="001F0D4B" w:rsidRPr="001F0D4B" w:rsidRDefault="001F0D4B">
        <w:pPr>
          <w:pStyle w:val="Zpat"/>
          <w:jc w:val="right"/>
          <w:rPr>
            <w:rFonts w:asciiTheme="minorHAnsi" w:hAnsiTheme="minorHAnsi" w:cstheme="minorHAnsi"/>
            <w:i/>
            <w:iCs/>
          </w:rPr>
        </w:pPr>
        <w:r w:rsidRPr="001F0D4B">
          <w:rPr>
            <w:rFonts w:asciiTheme="minorHAnsi" w:hAnsiTheme="minorHAnsi" w:cstheme="minorHAnsi"/>
            <w:i/>
            <w:iCs/>
          </w:rPr>
          <w:fldChar w:fldCharType="begin"/>
        </w:r>
        <w:r w:rsidRPr="001F0D4B">
          <w:rPr>
            <w:rFonts w:asciiTheme="minorHAnsi" w:hAnsiTheme="minorHAnsi" w:cstheme="minorHAnsi"/>
            <w:i/>
            <w:iCs/>
          </w:rPr>
          <w:instrText>PAGE   \* MERGEFORMAT</w:instrText>
        </w:r>
        <w:r w:rsidRPr="001F0D4B">
          <w:rPr>
            <w:rFonts w:asciiTheme="minorHAnsi" w:hAnsiTheme="minorHAnsi" w:cstheme="minorHAnsi"/>
            <w:i/>
            <w:iCs/>
          </w:rPr>
          <w:fldChar w:fldCharType="separate"/>
        </w:r>
        <w:r w:rsidRPr="001F0D4B">
          <w:rPr>
            <w:rFonts w:asciiTheme="minorHAnsi" w:hAnsiTheme="minorHAnsi" w:cstheme="minorHAnsi"/>
            <w:i/>
            <w:iCs/>
          </w:rPr>
          <w:t>2</w:t>
        </w:r>
        <w:r w:rsidRPr="001F0D4B">
          <w:rPr>
            <w:rFonts w:asciiTheme="minorHAnsi" w:hAnsiTheme="minorHAnsi" w:cstheme="minorHAnsi"/>
            <w:i/>
            <w:iCs/>
          </w:rPr>
          <w:fldChar w:fldCharType="end"/>
        </w:r>
      </w:p>
    </w:sdtContent>
  </w:sdt>
  <w:p w14:paraId="16388491" w14:textId="77777777" w:rsidR="0096659A" w:rsidRPr="00DF4ED5" w:rsidRDefault="0096659A" w:rsidP="00DF4E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01818" w14:textId="77777777" w:rsidR="00F10822" w:rsidRDefault="00F10822" w:rsidP="004F5014">
      <w:pPr>
        <w:spacing w:line="240" w:lineRule="auto"/>
      </w:pPr>
      <w:r>
        <w:separator/>
      </w:r>
    </w:p>
  </w:footnote>
  <w:footnote w:type="continuationSeparator" w:id="0">
    <w:p w14:paraId="368C560E" w14:textId="77777777" w:rsidR="00F10822" w:rsidRDefault="00F10822" w:rsidP="004F50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B0A49" w14:textId="4129B08A" w:rsidR="001F0D4B" w:rsidRDefault="001F0D4B" w:rsidP="001F0D4B">
    <w:pPr>
      <w:pStyle w:val="Zhlav"/>
      <w:jc w:val="left"/>
    </w:pPr>
    <w:r w:rsidRPr="008B57D8">
      <w:rPr>
        <w:rFonts w:asciiTheme="minorHAnsi" w:hAnsiTheme="minorHAnsi" w:cstheme="minorHAnsi"/>
        <w:i/>
        <w:iCs/>
        <w:szCs w:val="18"/>
      </w:rPr>
      <w:t xml:space="preserve">Příloha č. </w:t>
    </w:r>
    <w:r>
      <w:rPr>
        <w:rFonts w:asciiTheme="minorHAnsi" w:hAnsiTheme="minorHAnsi" w:cstheme="minorHAnsi"/>
        <w:i/>
        <w:iCs/>
        <w:szCs w:val="18"/>
      </w:rPr>
      <w:t xml:space="preserve">2g </w:t>
    </w:r>
    <w:r w:rsidRPr="008B57D8">
      <w:rPr>
        <w:rFonts w:asciiTheme="minorHAnsi" w:hAnsiTheme="minorHAnsi" w:cstheme="minorHAnsi"/>
        <w:i/>
        <w:iCs/>
        <w:szCs w:val="18"/>
      </w:rPr>
      <w:t xml:space="preserve"> ZD k veřejné zakázce „Centrální pojištění nemovitého, movitého majetku, vozidel a odpovědnosti města Frenštátu pod Radhoštěm a jeho organizací“ - </w:t>
    </w:r>
    <w:r>
      <w:rPr>
        <w:rFonts w:asciiTheme="minorHAnsi" w:hAnsiTheme="minorHAnsi" w:cstheme="minorHAnsi"/>
        <w:i/>
        <w:iCs/>
        <w:szCs w:val="18"/>
      </w:rPr>
      <w:t>POJIŠTĚNÍ ODPOVĚDNOSTI ZA ŠKODU</w:t>
    </w:r>
  </w:p>
  <w:p w14:paraId="32B8111F" w14:textId="4FBEB1C1" w:rsidR="0096659A" w:rsidRDefault="0096659A" w:rsidP="004F501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58ECE7A8"/>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95EAA3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3" w15:restartNumberingAfterBreak="0">
    <w:nsid w:val="059C7370"/>
    <w:multiLevelType w:val="multilevel"/>
    <w:tmpl w:val="B3E86208"/>
    <w:lvl w:ilvl="0">
      <w:start w:val="1"/>
      <w:numFmt w:val="decimal"/>
      <w:pStyle w:val="PNadpis1"/>
      <w:lvlText w:val="%1."/>
      <w:lvlJc w:val="left"/>
      <w:pPr>
        <w:tabs>
          <w:tab w:val="num" w:pos="357"/>
        </w:tabs>
        <w:ind w:left="360" w:hanging="360"/>
      </w:pPr>
      <w:rPr>
        <w:rFonts w:hint="default"/>
      </w:rPr>
    </w:lvl>
    <w:lvl w:ilvl="1">
      <w:start w:val="1"/>
      <w:numFmt w:val="decimal"/>
      <w:pStyle w:val="PNadpis2"/>
      <w:lvlText w:val="%1.%2"/>
      <w:lvlJc w:val="left"/>
      <w:pPr>
        <w:tabs>
          <w:tab w:val="num" w:pos="510"/>
        </w:tabs>
        <w:ind w:left="510" w:hanging="510"/>
      </w:pPr>
      <w:rPr>
        <w:rFonts w:hint="default"/>
      </w:rPr>
    </w:lvl>
    <w:lvl w:ilvl="2">
      <w:start w:val="1"/>
      <w:numFmt w:val="decimal"/>
      <w:pStyle w:val="PNadpis3"/>
      <w:lvlText w:val="%1.%2.%3"/>
      <w:lvlJc w:val="left"/>
      <w:pPr>
        <w:tabs>
          <w:tab w:val="num" w:pos="680"/>
        </w:tabs>
        <w:ind w:left="680" w:hanging="68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5" w15:restartNumberingAfterBreak="0">
    <w:nsid w:val="29560428"/>
    <w:multiLevelType w:val="multilevel"/>
    <w:tmpl w:val="E7CC3C2E"/>
    <w:lvl w:ilvl="0">
      <w:start w:val="1"/>
      <w:numFmt w:val="decimal"/>
      <w:pStyle w:val="Nadpis1"/>
      <w:suff w:val="space"/>
      <w:lvlText w:val="%1. "/>
      <w:lvlJc w:val="left"/>
      <w:pPr>
        <w:ind w:left="432" w:hanging="432"/>
      </w:pPr>
      <w:rPr>
        <w:rFonts w:hint="default"/>
      </w:rPr>
    </w:lvl>
    <w:lvl w:ilvl="1">
      <w:start w:val="1"/>
      <w:numFmt w:val="decimal"/>
      <w:pStyle w:val="Nadpis2"/>
      <w:suff w:val="space"/>
      <w:lvlText w:val="%1.%2 "/>
      <w:lvlJc w:val="left"/>
      <w:pPr>
        <w:ind w:left="576" w:hanging="576"/>
      </w:pPr>
      <w:rPr>
        <w:rFonts w:hint="default"/>
      </w:rPr>
    </w:lvl>
    <w:lvl w:ilvl="2">
      <w:start w:val="1"/>
      <w:numFmt w:val="decimal"/>
      <w:pStyle w:val="Nadpis3"/>
      <w:suff w:val="space"/>
      <w:lvlText w:val="%1.%2.%3 "/>
      <w:lvlJc w:val="left"/>
      <w:pPr>
        <w:ind w:left="720" w:hanging="720"/>
      </w:pPr>
      <w:rPr>
        <w:rFonts w:hint="default"/>
      </w:rPr>
    </w:lvl>
    <w:lvl w:ilvl="3">
      <w:start w:val="1"/>
      <w:numFmt w:val="decimal"/>
      <w:suff w:val="space"/>
      <w:lvlText w:val="%1.%2.%3.%4 "/>
      <w:lvlJc w:val="left"/>
      <w:pPr>
        <w:ind w:left="864" w:hanging="864"/>
      </w:pPr>
      <w:rPr>
        <w:rFonts w:hint="default"/>
      </w:rPr>
    </w:lvl>
    <w:lvl w:ilvl="4">
      <w:start w:val="1"/>
      <w:numFmt w:val="decimal"/>
      <w:suff w:val="space"/>
      <w:lvlText w:val="%1.%2.%3.%4.%5 "/>
      <w:lvlJc w:val="left"/>
      <w:pPr>
        <w:ind w:left="1008" w:hanging="1008"/>
      </w:pPr>
      <w:rPr>
        <w:rFonts w:hint="default"/>
      </w:rPr>
    </w:lvl>
    <w:lvl w:ilvl="5">
      <w:start w:val="1"/>
      <w:numFmt w:val="decimal"/>
      <w:suff w:val="space"/>
      <w:lvlText w:val="%1.%2.%3.%4.%5.%6 "/>
      <w:lvlJc w:val="left"/>
      <w:pPr>
        <w:ind w:left="1152" w:hanging="1152"/>
      </w:pPr>
      <w:rPr>
        <w:rFonts w:hint="default"/>
      </w:rPr>
    </w:lvl>
    <w:lvl w:ilvl="6">
      <w:start w:val="1"/>
      <w:numFmt w:val="decimal"/>
      <w:suff w:val="space"/>
      <w:lvlText w:val="%1.%2.%3.%4.%5.%6.%7 "/>
      <w:lvlJc w:val="left"/>
      <w:pPr>
        <w:ind w:left="1296" w:hanging="1296"/>
      </w:pPr>
      <w:rPr>
        <w:rFonts w:hint="default"/>
      </w:rPr>
    </w:lvl>
    <w:lvl w:ilvl="7">
      <w:start w:val="1"/>
      <w:numFmt w:val="decimal"/>
      <w:suff w:val="space"/>
      <w:lvlText w:val="%1.%2.%3.%4.%5.%6.%7.%8 "/>
      <w:lvlJc w:val="left"/>
      <w:pPr>
        <w:ind w:left="1440" w:hanging="1440"/>
      </w:pPr>
      <w:rPr>
        <w:rFonts w:hint="default"/>
      </w:rPr>
    </w:lvl>
    <w:lvl w:ilvl="8">
      <w:start w:val="1"/>
      <w:numFmt w:val="decimal"/>
      <w:suff w:val="space"/>
      <w:lvlText w:val="%1.%2.%3.%4.%5.%6.%7.%8.%9 "/>
      <w:lvlJc w:val="left"/>
      <w:pPr>
        <w:ind w:left="1584" w:hanging="1584"/>
      </w:pPr>
      <w:rPr>
        <w:rFonts w:hint="default"/>
      </w:rPr>
    </w:lvl>
  </w:abstractNum>
  <w:abstractNum w:abstractNumId="6" w15:restartNumberingAfterBreak="0">
    <w:nsid w:val="2BCD1920"/>
    <w:multiLevelType w:val="multilevel"/>
    <w:tmpl w:val="043E343A"/>
    <w:lvl w:ilvl="0">
      <w:start w:val="1"/>
      <w:numFmt w:val="decimal"/>
      <w:lvlText w:val="%1."/>
      <w:lvlJc w:val="left"/>
      <w:pPr>
        <w:tabs>
          <w:tab w:val="num" w:pos="360"/>
        </w:tabs>
        <w:ind w:left="360" w:hanging="360"/>
      </w:pPr>
      <w:rPr>
        <w:rFonts w:hint="default"/>
      </w:rPr>
    </w:lvl>
    <w:lvl w:ilvl="1">
      <w:start w:val="1"/>
      <w:numFmt w:val="decimal"/>
      <w:lvlText w:val="%1."/>
      <w:lvlJc w:val="left"/>
      <w:pPr>
        <w:tabs>
          <w:tab w:val="num" w:pos="794"/>
        </w:tabs>
        <w:ind w:left="792" w:hanging="792"/>
      </w:pPr>
      <w:rPr>
        <w:rFonts w:hint="default"/>
      </w:rPr>
    </w:lvl>
    <w:lvl w:ilvl="2">
      <w:start w:val="1"/>
      <w:numFmt w:val="decimal"/>
      <w:lvlText w:val="%1.%2.%3."/>
      <w:lvlJc w:val="left"/>
      <w:pPr>
        <w:tabs>
          <w:tab w:val="num" w:pos="2160"/>
        </w:tabs>
        <w:ind w:left="1224" w:hanging="1224"/>
      </w:pPr>
      <w:rPr>
        <w:rFonts w:hint="default"/>
      </w:rPr>
    </w:lvl>
    <w:lvl w:ilvl="3">
      <w:start w:val="1"/>
      <w:numFmt w:val="decimal"/>
      <w:lvlText w:val="%1.%2.%3.%4."/>
      <w:lvlJc w:val="left"/>
      <w:pPr>
        <w:tabs>
          <w:tab w:val="num" w:pos="3240"/>
        </w:tabs>
        <w:ind w:left="1728" w:hanging="651"/>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7" w15:restartNumberingAfterBreak="0">
    <w:nsid w:val="3E1D2A29"/>
    <w:multiLevelType w:val="multilevel"/>
    <w:tmpl w:val="AE6ABD06"/>
    <w:lvl w:ilvl="0">
      <w:start w:val="1"/>
      <w:numFmt w:val="decimal"/>
      <w:lvlText w:val="%1"/>
      <w:lvlJc w:val="left"/>
      <w:pPr>
        <w:tabs>
          <w:tab w:val="num" w:pos="855"/>
        </w:tabs>
        <w:ind w:left="855" w:hanging="855"/>
      </w:pPr>
      <w:rPr>
        <w:rFonts w:ascii="Calibri" w:hAnsi="Calibri" w:hint="default"/>
        <w:b/>
        <w:i w:val="0"/>
        <w:sz w:val="20"/>
        <w:szCs w:val="20"/>
      </w:rPr>
    </w:lvl>
    <w:lvl w:ilvl="1">
      <w:start w:val="1"/>
      <w:numFmt w:val="decimal"/>
      <w:lvlText w:val="%1.%2"/>
      <w:lvlJc w:val="left"/>
      <w:pPr>
        <w:tabs>
          <w:tab w:val="num" w:pos="855"/>
        </w:tabs>
        <w:ind w:left="855" w:hanging="855"/>
      </w:pPr>
      <w:rPr>
        <w:rFonts w:ascii="Calibri" w:hAnsi="Calibri" w:hint="default"/>
        <w:b/>
        <w:i w:val="0"/>
        <w:sz w:val="20"/>
        <w:szCs w:val="20"/>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520"/>
        </w:tabs>
        <w:ind w:left="2520" w:hanging="252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3240"/>
        </w:tabs>
        <w:ind w:left="3240" w:hanging="3240"/>
      </w:pPr>
      <w:rPr>
        <w:rFonts w:hint="default"/>
      </w:rPr>
    </w:lvl>
    <w:lvl w:ilvl="8">
      <w:start w:val="1"/>
      <w:numFmt w:val="decimal"/>
      <w:lvlText w:val="%1.%2.%3.%4.%5.%6.%7.%8.%9"/>
      <w:lvlJc w:val="left"/>
      <w:pPr>
        <w:tabs>
          <w:tab w:val="num" w:pos="3600"/>
        </w:tabs>
        <w:ind w:left="3600" w:hanging="3600"/>
      </w:pPr>
      <w:rPr>
        <w:rFonts w:hint="default"/>
      </w:rPr>
    </w:lvl>
  </w:abstractNum>
  <w:abstractNum w:abstractNumId="8"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6B19676C"/>
    <w:multiLevelType w:val="hybridMultilevel"/>
    <w:tmpl w:val="5C021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5"/>
  </w:num>
  <w:num w:numId="5">
    <w:abstractNumId w:val="5"/>
  </w:num>
  <w:num w:numId="6">
    <w:abstractNumId w:val="0"/>
  </w:num>
  <w:num w:numId="7">
    <w:abstractNumId w:val="4"/>
  </w:num>
  <w:num w:numId="8">
    <w:abstractNumId w:val="2"/>
  </w:num>
  <w:num w:numId="9">
    <w:abstractNumId w:val="2"/>
  </w:num>
  <w:num w:numId="10">
    <w:abstractNumId w:val="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014"/>
    <w:rsid w:val="00003285"/>
    <w:rsid w:val="0004661E"/>
    <w:rsid w:val="000C6969"/>
    <w:rsid w:val="000E365F"/>
    <w:rsid w:val="000F6949"/>
    <w:rsid w:val="00110AB6"/>
    <w:rsid w:val="00127BE9"/>
    <w:rsid w:val="001307E0"/>
    <w:rsid w:val="0015110A"/>
    <w:rsid w:val="00196999"/>
    <w:rsid w:val="001A6F0E"/>
    <w:rsid w:val="001C015C"/>
    <w:rsid w:val="001F0D4B"/>
    <w:rsid w:val="001F452C"/>
    <w:rsid w:val="00201D92"/>
    <w:rsid w:val="0025110D"/>
    <w:rsid w:val="00256F10"/>
    <w:rsid w:val="0026079A"/>
    <w:rsid w:val="002776E5"/>
    <w:rsid w:val="0029605F"/>
    <w:rsid w:val="002A5DBA"/>
    <w:rsid w:val="002C5688"/>
    <w:rsid w:val="002E1918"/>
    <w:rsid w:val="00317016"/>
    <w:rsid w:val="003239D5"/>
    <w:rsid w:val="003507BA"/>
    <w:rsid w:val="00352299"/>
    <w:rsid w:val="00365DD0"/>
    <w:rsid w:val="00370443"/>
    <w:rsid w:val="00387640"/>
    <w:rsid w:val="0039327D"/>
    <w:rsid w:val="00397B7F"/>
    <w:rsid w:val="003B17E5"/>
    <w:rsid w:val="003D4888"/>
    <w:rsid w:val="0040179B"/>
    <w:rsid w:val="00416227"/>
    <w:rsid w:val="004179CB"/>
    <w:rsid w:val="00434055"/>
    <w:rsid w:val="004340BD"/>
    <w:rsid w:val="00497409"/>
    <w:rsid w:val="00497D94"/>
    <w:rsid w:val="004A5503"/>
    <w:rsid w:val="004F5014"/>
    <w:rsid w:val="00531461"/>
    <w:rsid w:val="005725FE"/>
    <w:rsid w:val="0057345C"/>
    <w:rsid w:val="00594CCB"/>
    <w:rsid w:val="005C2DCE"/>
    <w:rsid w:val="005D54E4"/>
    <w:rsid w:val="005F74B3"/>
    <w:rsid w:val="00673C14"/>
    <w:rsid w:val="006829E2"/>
    <w:rsid w:val="006B399C"/>
    <w:rsid w:val="006E55E7"/>
    <w:rsid w:val="00716DF9"/>
    <w:rsid w:val="0072283F"/>
    <w:rsid w:val="00722B68"/>
    <w:rsid w:val="007428B0"/>
    <w:rsid w:val="00753AC7"/>
    <w:rsid w:val="00776B81"/>
    <w:rsid w:val="00782ABF"/>
    <w:rsid w:val="00783771"/>
    <w:rsid w:val="00783AC5"/>
    <w:rsid w:val="0078707E"/>
    <w:rsid w:val="007A5B0F"/>
    <w:rsid w:val="007B2482"/>
    <w:rsid w:val="007D2461"/>
    <w:rsid w:val="007D4C11"/>
    <w:rsid w:val="007F6C3F"/>
    <w:rsid w:val="0084377A"/>
    <w:rsid w:val="008524B9"/>
    <w:rsid w:val="00862D66"/>
    <w:rsid w:val="008F57E7"/>
    <w:rsid w:val="008F61AF"/>
    <w:rsid w:val="008F79D1"/>
    <w:rsid w:val="00905EBF"/>
    <w:rsid w:val="009508CF"/>
    <w:rsid w:val="0096659A"/>
    <w:rsid w:val="00977D3E"/>
    <w:rsid w:val="009A00E8"/>
    <w:rsid w:val="009A7ED0"/>
    <w:rsid w:val="009E53F3"/>
    <w:rsid w:val="009E66E6"/>
    <w:rsid w:val="00A15B93"/>
    <w:rsid w:val="00A3678A"/>
    <w:rsid w:val="00A43AD8"/>
    <w:rsid w:val="00A65019"/>
    <w:rsid w:val="00AA64C0"/>
    <w:rsid w:val="00AC09D9"/>
    <w:rsid w:val="00AE02FA"/>
    <w:rsid w:val="00AE1105"/>
    <w:rsid w:val="00AF6F8E"/>
    <w:rsid w:val="00B06D8C"/>
    <w:rsid w:val="00B538D3"/>
    <w:rsid w:val="00B8110B"/>
    <w:rsid w:val="00B92001"/>
    <w:rsid w:val="00B94A58"/>
    <w:rsid w:val="00BA3D27"/>
    <w:rsid w:val="00BA421E"/>
    <w:rsid w:val="00BC3F1E"/>
    <w:rsid w:val="00BC4B83"/>
    <w:rsid w:val="00C017F6"/>
    <w:rsid w:val="00C97F82"/>
    <w:rsid w:val="00CC1902"/>
    <w:rsid w:val="00D05845"/>
    <w:rsid w:val="00D21E52"/>
    <w:rsid w:val="00D22B8F"/>
    <w:rsid w:val="00D523F3"/>
    <w:rsid w:val="00D7148D"/>
    <w:rsid w:val="00D9512B"/>
    <w:rsid w:val="00DA2810"/>
    <w:rsid w:val="00DD609B"/>
    <w:rsid w:val="00DF41CB"/>
    <w:rsid w:val="00DF43E5"/>
    <w:rsid w:val="00DF4ED5"/>
    <w:rsid w:val="00E21E05"/>
    <w:rsid w:val="00E228C9"/>
    <w:rsid w:val="00E421E6"/>
    <w:rsid w:val="00E5762D"/>
    <w:rsid w:val="00E6214A"/>
    <w:rsid w:val="00E7425D"/>
    <w:rsid w:val="00EB14BB"/>
    <w:rsid w:val="00EC626A"/>
    <w:rsid w:val="00F062EA"/>
    <w:rsid w:val="00F10822"/>
    <w:rsid w:val="00F200B0"/>
    <w:rsid w:val="00F44C87"/>
    <w:rsid w:val="00F451A9"/>
    <w:rsid w:val="00F46B2F"/>
    <w:rsid w:val="00F845C2"/>
    <w:rsid w:val="00FB6C5C"/>
    <w:rsid w:val="00FC69F9"/>
    <w:rsid w:val="00FD2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5C5FA0"/>
  <w15:docId w15:val="{C58E88EE-E0EB-4DC7-ABF9-A3EC0AA2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C1902"/>
    <w:pPr>
      <w:spacing w:line="280" w:lineRule="atLeast"/>
      <w:jc w:val="both"/>
    </w:pPr>
    <w:rPr>
      <w:rFonts w:ascii="Arial" w:eastAsia="Calibri" w:hAnsi="Arial"/>
      <w:color w:val="000000"/>
      <w:sz w:val="18"/>
      <w:lang w:eastAsia="en-US"/>
    </w:rPr>
  </w:style>
  <w:style w:type="paragraph" w:styleId="Nadpis1">
    <w:name w:val="heading 1"/>
    <w:basedOn w:val="Normln"/>
    <w:next w:val="Normln"/>
    <w:qFormat/>
    <w:rsid w:val="008524B9"/>
    <w:pPr>
      <w:widowControl w:val="0"/>
      <w:numPr>
        <w:numId w:val="5"/>
      </w:numPr>
      <w:spacing w:after="220"/>
      <w:jc w:val="left"/>
      <w:outlineLvl w:val="0"/>
    </w:pPr>
    <w:rPr>
      <w:rFonts w:cs="Arial"/>
      <w:b/>
      <w:noProof/>
      <w:color w:val="283164"/>
      <w:sz w:val="32"/>
    </w:rPr>
  </w:style>
  <w:style w:type="paragraph" w:styleId="Nadpis2">
    <w:name w:val="heading 2"/>
    <w:basedOn w:val="Normln"/>
    <w:next w:val="Normln"/>
    <w:qFormat/>
    <w:rsid w:val="008524B9"/>
    <w:pPr>
      <w:widowControl w:val="0"/>
      <w:numPr>
        <w:ilvl w:val="1"/>
        <w:numId w:val="5"/>
      </w:numPr>
      <w:spacing w:before="220" w:after="220"/>
      <w:outlineLvl w:val="1"/>
    </w:pPr>
    <w:rPr>
      <w:b/>
      <w:color w:val="283164"/>
      <w:sz w:val="28"/>
    </w:rPr>
  </w:style>
  <w:style w:type="paragraph" w:styleId="Nadpis3">
    <w:name w:val="heading 3"/>
    <w:basedOn w:val="Normln"/>
    <w:next w:val="Normln"/>
    <w:qFormat/>
    <w:rsid w:val="008524B9"/>
    <w:pPr>
      <w:keepNext/>
      <w:numPr>
        <w:ilvl w:val="2"/>
        <w:numId w:val="5"/>
      </w:numPr>
      <w:spacing w:before="220" w:after="220"/>
      <w:outlineLvl w:val="2"/>
    </w:pPr>
    <w:rPr>
      <w:b/>
      <w:color w:val="283164"/>
      <w:szCs w:val="22"/>
    </w:rPr>
  </w:style>
  <w:style w:type="paragraph" w:styleId="Nadpis4">
    <w:name w:val="heading 4"/>
    <w:basedOn w:val="Normln"/>
    <w:next w:val="Normln"/>
    <w:link w:val="Nadpis4Char"/>
    <w:uiPriority w:val="9"/>
    <w:qFormat/>
    <w:rsid w:val="00CC1902"/>
    <w:pPr>
      <w:keepNext/>
      <w:spacing w:before="240" w:after="60"/>
      <w:outlineLvl w:val="3"/>
    </w:pPr>
    <w:rPr>
      <w:rFonts w:eastAsia="Times New Roman"/>
      <w:b/>
      <w:bCs/>
      <w:color w:val="28316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2"/>
      </w:numPr>
    </w:pPr>
  </w:style>
  <w:style w:type="paragraph" w:styleId="Nzev">
    <w:name w:val="Title"/>
    <w:basedOn w:val="Normln"/>
    <w:next w:val="Normln"/>
    <w:qFormat/>
    <w:rsid w:val="008524B9"/>
    <w:pPr>
      <w:spacing w:before="120"/>
      <w:jc w:val="center"/>
    </w:pPr>
    <w:rPr>
      <w:b/>
      <w:color w:val="283164"/>
      <w:sz w:val="32"/>
      <w:szCs w:val="28"/>
    </w:rPr>
  </w:style>
  <w:style w:type="paragraph" w:styleId="slovanseznam2">
    <w:name w:val="List Number 2"/>
    <w:basedOn w:val="Normln"/>
    <w:rsid w:val="008524B9"/>
    <w:pPr>
      <w:numPr>
        <w:ilvl w:val="1"/>
        <w:numId w:val="7"/>
      </w:numPr>
    </w:pPr>
  </w:style>
  <w:style w:type="paragraph" w:styleId="Seznamsodrkami">
    <w:name w:val="List Bullet"/>
    <w:basedOn w:val="Normln"/>
    <w:rsid w:val="008524B9"/>
    <w:pPr>
      <w:numPr>
        <w:numId w:val="9"/>
      </w:numPr>
    </w:pPr>
  </w:style>
  <w:style w:type="paragraph" w:styleId="Zhlav">
    <w:name w:val="header"/>
    <w:basedOn w:val="Normln"/>
    <w:link w:val="ZhlavChar"/>
    <w:uiPriority w:val="99"/>
    <w:rsid w:val="004F5014"/>
    <w:pPr>
      <w:tabs>
        <w:tab w:val="center" w:pos="4536"/>
        <w:tab w:val="right" w:pos="9072"/>
      </w:tabs>
    </w:pPr>
  </w:style>
  <w:style w:type="character" w:customStyle="1" w:styleId="ZhlavChar">
    <w:name w:val="Záhlaví Char"/>
    <w:basedOn w:val="Standardnpsmoodstavce"/>
    <w:link w:val="Zhlav"/>
    <w:uiPriority w:val="99"/>
    <w:rsid w:val="004F5014"/>
    <w:rPr>
      <w:rFonts w:ascii="Arial" w:hAnsi="Arial"/>
      <w:sz w:val="22"/>
      <w:szCs w:val="24"/>
    </w:rPr>
  </w:style>
  <w:style w:type="paragraph" w:styleId="Zpat">
    <w:name w:val="footer"/>
    <w:basedOn w:val="Normln"/>
    <w:link w:val="ZpatChar"/>
    <w:uiPriority w:val="99"/>
    <w:rsid w:val="004F5014"/>
    <w:pPr>
      <w:tabs>
        <w:tab w:val="center" w:pos="4536"/>
        <w:tab w:val="right" w:pos="9072"/>
      </w:tabs>
    </w:pPr>
  </w:style>
  <w:style w:type="character" w:customStyle="1" w:styleId="ZpatChar">
    <w:name w:val="Zápatí Char"/>
    <w:basedOn w:val="Standardnpsmoodstavce"/>
    <w:link w:val="Zpat"/>
    <w:uiPriority w:val="99"/>
    <w:rsid w:val="004F5014"/>
    <w:rPr>
      <w:rFonts w:ascii="Arial" w:hAnsi="Arial"/>
      <w:sz w:val="22"/>
      <w:szCs w:val="24"/>
    </w:rPr>
  </w:style>
  <w:style w:type="character" w:customStyle="1" w:styleId="Nadpis4Char">
    <w:name w:val="Nadpis 4 Char"/>
    <w:basedOn w:val="Standardnpsmoodstavce"/>
    <w:link w:val="Nadpis4"/>
    <w:uiPriority w:val="9"/>
    <w:rsid w:val="00CC1902"/>
    <w:rPr>
      <w:rFonts w:ascii="Arial" w:hAnsi="Arial"/>
      <w:b/>
      <w:bCs/>
      <w:color w:val="283164"/>
      <w:sz w:val="18"/>
      <w:szCs w:val="28"/>
      <w:lang w:eastAsia="en-US"/>
    </w:rPr>
  </w:style>
  <w:style w:type="paragraph" w:customStyle="1" w:styleId="TabulkaNL">
    <w:name w:val="Tabulka_NL"/>
    <w:basedOn w:val="Normln"/>
    <w:qFormat/>
    <w:rsid w:val="00CC1902"/>
    <w:pPr>
      <w:spacing w:line="220" w:lineRule="atLeast"/>
      <w:jc w:val="left"/>
    </w:pPr>
    <w:rPr>
      <w:b/>
      <w:color w:val="FFFFFF"/>
      <w:sz w:val="16"/>
    </w:rPr>
  </w:style>
  <w:style w:type="paragraph" w:customStyle="1" w:styleId="TabulkaTL">
    <w:name w:val="Tabulka_TL"/>
    <w:basedOn w:val="Normln"/>
    <w:qFormat/>
    <w:rsid w:val="00CC1902"/>
    <w:pPr>
      <w:spacing w:line="220" w:lineRule="atLeast"/>
      <w:jc w:val="left"/>
    </w:pPr>
    <w:rPr>
      <w:sz w:val="16"/>
    </w:rPr>
  </w:style>
  <w:style w:type="paragraph" w:customStyle="1" w:styleId="TabulkaTR">
    <w:name w:val="Tabulka_TR"/>
    <w:basedOn w:val="TabulkaTL"/>
    <w:qFormat/>
    <w:rsid w:val="00CC1902"/>
    <w:pPr>
      <w:jc w:val="right"/>
    </w:pPr>
  </w:style>
  <w:style w:type="paragraph" w:customStyle="1" w:styleId="TabulkaNR">
    <w:name w:val="Tabulka_NR"/>
    <w:basedOn w:val="Normln"/>
    <w:qFormat/>
    <w:rsid w:val="00CC1902"/>
    <w:pPr>
      <w:spacing w:line="220" w:lineRule="atLeast"/>
      <w:jc w:val="right"/>
    </w:pPr>
    <w:rPr>
      <w:b/>
      <w:color w:val="FFFFFF"/>
      <w:sz w:val="16"/>
    </w:rPr>
  </w:style>
  <w:style w:type="paragraph" w:customStyle="1" w:styleId="PNadpis1">
    <w:name w:val="P_Nadpis_1"/>
    <w:basedOn w:val="Nadpis1"/>
    <w:qFormat/>
    <w:rsid w:val="00CC1902"/>
    <w:pPr>
      <w:pageBreakBefore/>
      <w:numPr>
        <w:numId w:val="10"/>
      </w:numPr>
      <w:spacing w:after="0" w:line="500" w:lineRule="atLeast"/>
    </w:pPr>
    <w:rPr>
      <w:rFonts w:cs="Times New Roman"/>
      <w:bCs/>
      <w:noProof w:val="0"/>
      <w:kern w:val="32"/>
      <w:sz w:val="40"/>
      <w:szCs w:val="32"/>
    </w:rPr>
  </w:style>
  <w:style w:type="paragraph" w:customStyle="1" w:styleId="PNadpis2">
    <w:name w:val="P_Nadpis_2"/>
    <w:basedOn w:val="Nadpis2"/>
    <w:qFormat/>
    <w:rsid w:val="00CC1902"/>
    <w:pPr>
      <w:keepNext/>
      <w:widowControl/>
      <w:numPr>
        <w:numId w:val="10"/>
      </w:numPr>
      <w:spacing w:before="280" w:after="280"/>
      <w:jc w:val="left"/>
    </w:pPr>
    <w:rPr>
      <w:bCs/>
      <w:iCs/>
      <w:szCs w:val="28"/>
    </w:rPr>
  </w:style>
  <w:style w:type="paragraph" w:customStyle="1" w:styleId="PNadpis3">
    <w:name w:val="P_Nadpis_3"/>
    <w:basedOn w:val="Nadpis3"/>
    <w:qFormat/>
    <w:rsid w:val="00CC1902"/>
    <w:pPr>
      <w:numPr>
        <w:numId w:val="10"/>
      </w:numPr>
      <w:spacing w:before="280" w:after="60"/>
    </w:pPr>
    <w:rPr>
      <w:bCs/>
      <w:szCs w:val="26"/>
    </w:rPr>
  </w:style>
  <w:style w:type="paragraph" w:customStyle="1" w:styleId="TabulkaNM">
    <w:name w:val="Tabulka_NM"/>
    <w:basedOn w:val="TabulkaNL"/>
    <w:qFormat/>
    <w:rsid w:val="00C97F82"/>
    <w:pPr>
      <w:jc w:val="center"/>
    </w:pPr>
  </w:style>
  <w:style w:type="character" w:styleId="Odkaznakoment">
    <w:name w:val="annotation reference"/>
    <w:basedOn w:val="Standardnpsmoodstavce"/>
    <w:semiHidden/>
    <w:unhideWhenUsed/>
    <w:rsid w:val="00C017F6"/>
    <w:rPr>
      <w:sz w:val="16"/>
      <w:szCs w:val="16"/>
    </w:rPr>
  </w:style>
  <w:style w:type="paragraph" w:styleId="Textkomente">
    <w:name w:val="annotation text"/>
    <w:basedOn w:val="Normln"/>
    <w:link w:val="TextkomenteChar"/>
    <w:semiHidden/>
    <w:unhideWhenUsed/>
    <w:rsid w:val="00C017F6"/>
    <w:pPr>
      <w:spacing w:line="240" w:lineRule="auto"/>
    </w:pPr>
    <w:rPr>
      <w:sz w:val="20"/>
    </w:rPr>
  </w:style>
  <w:style w:type="character" w:customStyle="1" w:styleId="TextkomenteChar">
    <w:name w:val="Text komentáře Char"/>
    <w:basedOn w:val="Standardnpsmoodstavce"/>
    <w:link w:val="Textkomente"/>
    <w:semiHidden/>
    <w:rsid w:val="00C017F6"/>
    <w:rPr>
      <w:rFonts w:ascii="Arial" w:eastAsia="Calibri" w:hAnsi="Arial"/>
      <w:color w:val="000000"/>
      <w:lang w:eastAsia="en-US"/>
    </w:rPr>
  </w:style>
  <w:style w:type="paragraph" w:styleId="Pedmtkomente">
    <w:name w:val="annotation subject"/>
    <w:basedOn w:val="Textkomente"/>
    <w:next w:val="Textkomente"/>
    <w:link w:val="PedmtkomenteChar"/>
    <w:semiHidden/>
    <w:unhideWhenUsed/>
    <w:rsid w:val="00C017F6"/>
    <w:rPr>
      <w:b/>
      <w:bCs/>
    </w:rPr>
  </w:style>
  <w:style w:type="character" w:customStyle="1" w:styleId="PedmtkomenteChar">
    <w:name w:val="Předmět komentáře Char"/>
    <w:basedOn w:val="TextkomenteChar"/>
    <w:link w:val="Pedmtkomente"/>
    <w:semiHidden/>
    <w:rsid w:val="00C017F6"/>
    <w:rPr>
      <w:rFonts w:ascii="Arial" w:eastAsia="Calibri" w:hAnsi="Arial"/>
      <w:b/>
      <w:bCs/>
      <w:color w:val="000000"/>
      <w:lang w:eastAsia="en-US"/>
    </w:rPr>
  </w:style>
  <w:style w:type="paragraph" w:styleId="Textbubliny">
    <w:name w:val="Balloon Text"/>
    <w:basedOn w:val="Normln"/>
    <w:link w:val="TextbublinyChar"/>
    <w:semiHidden/>
    <w:unhideWhenUsed/>
    <w:rsid w:val="00C017F6"/>
    <w:pPr>
      <w:spacing w:line="240" w:lineRule="auto"/>
    </w:pPr>
    <w:rPr>
      <w:rFonts w:ascii="Segoe UI" w:hAnsi="Segoe UI" w:cs="Segoe UI"/>
      <w:szCs w:val="18"/>
    </w:rPr>
  </w:style>
  <w:style w:type="character" w:customStyle="1" w:styleId="TextbublinyChar">
    <w:name w:val="Text bubliny Char"/>
    <w:basedOn w:val="Standardnpsmoodstavce"/>
    <w:link w:val="Textbubliny"/>
    <w:semiHidden/>
    <w:rsid w:val="00C017F6"/>
    <w:rPr>
      <w:rFonts w:ascii="Segoe UI" w:eastAsia="Calibri" w:hAnsi="Segoe UI" w:cs="Segoe UI"/>
      <w:color w:val="000000"/>
      <w:sz w:val="18"/>
      <w:szCs w:val="18"/>
      <w:lang w:eastAsia="en-US"/>
    </w:rPr>
  </w:style>
  <w:style w:type="paragraph" w:customStyle="1" w:styleId="Dosaenvzdln">
    <w:name w:val="Dosažené vzdělání"/>
    <w:basedOn w:val="Zkladntext"/>
    <w:rsid w:val="00753AC7"/>
    <w:pPr>
      <w:spacing w:after="60" w:line="220" w:lineRule="atLeast"/>
      <w:ind w:left="432" w:hanging="432"/>
    </w:pPr>
    <w:rPr>
      <w:rFonts w:eastAsia="Times New Roman"/>
      <w:color w:val="auto"/>
      <w:spacing w:val="-5"/>
      <w:sz w:val="20"/>
      <w:lang w:val="x-none"/>
    </w:rPr>
  </w:style>
  <w:style w:type="paragraph" w:styleId="Zkladntext">
    <w:name w:val="Body Text"/>
    <w:basedOn w:val="Normln"/>
    <w:link w:val="ZkladntextChar"/>
    <w:semiHidden/>
    <w:unhideWhenUsed/>
    <w:rsid w:val="00753AC7"/>
    <w:pPr>
      <w:spacing w:after="120"/>
    </w:pPr>
  </w:style>
  <w:style w:type="character" w:customStyle="1" w:styleId="ZkladntextChar">
    <w:name w:val="Základní text Char"/>
    <w:basedOn w:val="Standardnpsmoodstavce"/>
    <w:link w:val="Zkladntext"/>
    <w:semiHidden/>
    <w:rsid w:val="00753AC7"/>
    <w:rPr>
      <w:rFonts w:ascii="Arial" w:eastAsia="Calibri" w:hAnsi="Arial"/>
      <w:color w:val="000000"/>
      <w:sz w:val="18"/>
      <w:lang w:eastAsia="en-US"/>
    </w:rPr>
  </w:style>
  <w:style w:type="paragraph" w:styleId="Bezmezer">
    <w:name w:val="No Spacing"/>
    <w:uiPriority w:val="1"/>
    <w:qFormat/>
    <w:rsid w:val="00753AC7"/>
    <w:pPr>
      <w:jc w:val="both"/>
    </w:pPr>
    <w:rPr>
      <w:rFonts w:ascii="Arial" w:eastAsia="Calibri" w:hAnsi="Arial"/>
      <w:color w:val="000000"/>
      <w:sz w:val="18"/>
      <w:lang w:eastAsia="en-US"/>
    </w:rPr>
  </w:style>
  <w:style w:type="paragraph" w:styleId="Odstavecseseznamem">
    <w:name w:val="List Paragraph"/>
    <w:basedOn w:val="Normln"/>
    <w:uiPriority w:val="34"/>
    <w:qFormat/>
    <w:rsid w:val="00EB1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7A38D-EC94-471A-B9B8-E3474E27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5941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Urbánek</dc:creator>
  <cp:lastModifiedBy>Lenka Szabó</cp:lastModifiedBy>
  <cp:revision>2</cp:revision>
  <cp:lastPrinted>2011-09-20T05:15:00Z</cp:lastPrinted>
  <dcterms:created xsi:type="dcterms:W3CDTF">2020-07-20T14:55:00Z</dcterms:created>
  <dcterms:modified xsi:type="dcterms:W3CDTF">2020-07-20T14:55:00Z</dcterms:modified>
</cp:coreProperties>
</file>